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7A" w:rsidRPr="001E7ABF" w:rsidRDefault="00644DF0" w:rsidP="00655F9C">
      <w:pPr>
        <w:spacing w:after="240"/>
        <w:jc w:val="center"/>
      </w:pPr>
      <w:r w:rsidRPr="001E7ABF">
        <w:rPr>
          <w:noProof/>
        </w:rPr>
        <w:drawing>
          <wp:inline distT="0" distB="0" distL="0" distR="0" wp14:anchorId="48D21FAF" wp14:editId="401649E7">
            <wp:extent cx="698500" cy="810895"/>
            <wp:effectExtent l="0" t="0" r="6350" b="8255"/>
            <wp:docPr id="1" name="Immagine 1" descr="Descrizione: 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REP"/>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98500" cy="810895"/>
                    </a:xfrm>
                    <a:prstGeom prst="rect">
                      <a:avLst/>
                    </a:prstGeom>
                    <a:noFill/>
                    <a:ln>
                      <a:noFill/>
                    </a:ln>
                  </pic:spPr>
                </pic:pic>
              </a:graphicData>
            </a:graphic>
          </wp:inline>
        </w:drawing>
      </w:r>
    </w:p>
    <w:p w:rsidR="0012327A" w:rsidRPr="001E7ABF" w:rsidRDefault="0012327A" w:rsidP="00655F9C">
      <w:pPr>
        <w:pStyle w:val="Nessunaspaziatura"/>
        <w:spacing w:after="240"/>
        <w:jc w:val="center"/>
        <w:rPr>
          <w:rFonts w:ascii="Palace Script MT" w:hAnsi="Palace Script MT"/>
          <w:b/>
          <w:bCs/>
        </w:rPr>
      </w:pPr>
      <w:r w:rsidRPr="001E7ABF">
        <w:rPr>
          <w:rFonts w:ascii="Palace Script MT" w:hAnsi="Palace Script MT"/>
          <w:sz w:val="96"/>
          <w:szCs w:val="96"/>
        </w:rPr>
        <w:t>Il Ministro dell</w:t>
      </w:r>
      <w:r w:rsidR="005F5731">
        <w:rPr>
          <w:rFonts w:ascii="Palace Script MT" w:hAnsi="Palace Script MT"/>
          <w:sz w:val="96"/>
          <w:szCs w:val="96"/>
        </w:rPr>
        <w:t>a Transizione Ecologica</w:t>
      </w:r>
    </w:p>
    <w:p w:rsidR="00E02244" w:rsidRDefault="0012327A" w:rsidP="00655F9C">
      <w:pPr>
        <w:jc w:val="center"/>
      </w:pPr>
      <w:r w:rsidRPr="001E7ABF">
        <w:t>di concerto</w:t>
      </w:r>
      <w:r w:rsidR="006A3132">
        <w:t xml:space="preserve"> </w:t>
      </w:r>
    </w:p>
    <w:p w:rsidR="0012327A" w:rsidRPr="001E7ABF" w:rsidRDefault="0012327A" w:rsidP="00655F9C">
      <w:pPr>
        <w:jc w:val="center"/>
      </w:pPr>
      <w:r w:rsidRPr="001E7ABF">
        <w:t>con</w:t>
      </w:r>
    </w:p>
    <w:p w:rsidR="00E02244" w:rsidRPr="00E02244" w:rsidRDefault="00E02244" w:rsidP="00E02244">
      <w:pPr>
        <w:spacing w:before="240"/>
        <w:jc w:val="center"/>
        <w:rPr>
          <w:rFonts w:ascii="Palace Script MT" w:hAnsi="Palace Script MT"/>
          <w:sz w:val="92"/>
          <w:szCs w:val="92"/>
        </w:rPr>
      </w:pPr>
      <w:r w:rsidRPr="00E02244">
        <w:rPr>
          <w:rFonts w:ascii="Palace Script MT" w:hAnsi="Palace Script MT"/>
          <w:sz w:val="92"/>
          <w:szCs w:val="92"/>
        </w:rPr>
        <w:t xml:space="preserve">il Ministro delle politiche agricole </w:t>
      </w:r>
    </w:p>
    <w:p w:rsidR="0012327A" w:rsidRPr="00E02244" w:rsidRDefault="00E02244" w:rsidP="00E02244">
      <w:pPr>
        <w:spacing w:before="240"/>
        <w:jc w:val="center"/>
        <w:rPr>
          <w:sz w:val="92"/>
          <w:szCs w:val="92"/>
        </w:rPr>
      </w:pPr>
      <w:r w:rsidRPr="00E02244">
        <w:rPr>
          <w:rFonts w:ascii="Palace Script MT" w:hAnsi="Palace Script MT"/>
          <w:sz w:val="92"/>
          <w:szCs w:val="92"/>
        </w:rPr>
        <w:t>alimentari e forestali</w:t>
      </w:r>
    </w:p>
    <w:p w:rsidR="00E02244" w:rsidRDefault="00E02244" w:rsidP="00CB72E0">
      <w:pPr>
        <w:spacing w:before="240"/>
        <w:rPr>
          <w:b/>
        </w:rPr>
      </w:pPr>
    </w:p>
    <w:p w:rsidR="00B01E04" w:rsidRDefault="00CB72E0" w:rsidP="00CB72E0">
      <w:pPr>
        <w:spacing w:before="240"/>
      </w:pPr>
      <w:r w:rsidRPr="00F71656">
        <w:rPr>
          <w:b/>
        </w:rPr>
        <w:t>VISTO</w:t>
      </w:r>
      <w:r w:rsidRPr="00907AAB">
        <w:t xml:space="preserve"> </w:t>
      </w:r>
      <w:r>
        <w:t xml:space="preserve">il </w:t>
      </w:r>
      <w:r w:rsidR="003271C8">
        <w:t>r</w:t>
      </w:r>
      <w:r>
        <w:t xml:space="preserve">egolamento (UE) 2021/1119 </w:t>
      </w:r>
      <w:r w:rsidR="00267356">
        <w:t xml:space="preserve">del Parlamento europeo e del Consiglio del 30 giugno 2021 </w:t>
      </w:r>
      <w:r>
        <w:t xml:space="preserve">che istituisce il quadro per il conseguimento della neutralità climatica e che modifica il regolamento </w:t>
      </w:r>
      <w:r w:rsidR="00267356">
        <w:t>(CE)</w:t>
      </w:r>
      <w:r>
        <w:t xml:space="preserve"> </w:t>
      </w:r>
      <w:r w:rsidR="00372AC0">
        <w:t xml:space="preserve">n. </w:t>
      </w:r>
      <w:r>
        <w:t>401/2009 e il</w:t>
      </w:r>
      <w:r w:rsidR="00267356">
        <w:t xml:space="preserve"> regolamento (UE)</w:t>
      </w:r>
      <w:r>
        <w:t xml:space="preserve"> 2018/1999</w:t>
      </w:r>
      <w:r w:rsidR="00267356">
        <w:t xml:space="preserve"> («Normativa europea sul clima»)</w:t>
      </w:r>
      <w:r w:rsidRPr="003A1739">
        <w:t>;</w:t>
      </w:r>
    </w:p>
    <w:p w:rsidR="00C3121C" w:rsidRDefault="00C3121C" w:rsidP="00C3121C">
      <w:pPr>
        <w:spacing w:before="240"/>
      </w:pPr>
      <w:r>
        <w:rPr>
          <w:b/>
          <w:bCs/>
        </w:rPr>
        <w:t xml:space="preserve">VISTA </w:t>
      </w:r>
      <w:r>
        <w:t xml:space="preserve">la direttiva 2018/2001/UE del Parlamento </w:t>
      </w:r>
      <w:r w:rsidR="000A435A">
        <w:t>e</w:t>
      </w:r>
      <w:r>
        <w:t xml:space="preserve">uropeo e del Consiglio, dell’11 dicembre 2018, sulla promozione dell’uso dell'energia da fonti rinnovabili; </w:t>
      </w:r>
    </w:p>
    <w:p w:rsidR="00C3121C" w:rsidRDefault="00C3121C" w:rsidP="00C3121C">
      <w:pPr>
        <w:spacing w:before="240"/>
      </w:pPr>
      <w:r w:rsidRPr="007A3CB0">
        <w:rPr>
          <w:b/>
          <w:bCs/>
        </w:rPr>
        <w:t>VISTA</w:t>
      </w:r>
      <w:r>
        <w:t xml:space="preserve"> la direttiva 2019/944/UE del Parlamento </w:t>
      </w:r>
      <w:r w:rsidR="000A435A">
        <w:t>e</w:t>
      </w:r>
      <w:r>
        <w:t>uropeo e del Consiglio, del 5 giugno 2019, relativa a norme comuni per il mercato interno dell</w:t>
      </w:r>
      <w:r w:rsidR="0029168C">
        <w:t>’</w:t>
      </w:r>
      <w:r>
        <w:t xml:space="preserve">energia elettrica e che modifica la direttiva 2012/27/UE; </w:t>
      </w:r>
    </w:p>
    <w:p w:rsidR="0029168C" w:rsidRDefault="0029168C" w:rsidP="0029168C">
      <w:pPr>
        <w:spacing w:before="240"/>
      </w:pPr>
      <w:r w:rsidRPr="007A3CB0">
        <w:rPr>
          <w:b/>
          <w:bCs/>
        </w:rPr>
        <w:t>VISTA</w:t>
      </w:r>
      <w:r>
        <w:t xml:space="preserve"> la legge 14 novembre 1995, n. 481, recante “Norme per la concorrenza e la regolazione dei servizi di pubblica utilità. Istituzione delle Autorità di regolazione dei servizi di pubblica utilità”; </w:t>
      </w:r>
    </w:p>
    <w:p w:rsidR="0029168C" w:rsidRDefault="0029168C" w:rsidP="0029168C">
      <w:pPr>
        <w:spacing w:before="240"/>
      </w:pPr>
      <w:r w:rsidRPr="007A3CB0">
        <w:rPr>
          <w:b/>
          <w:bCs/>
        </w:rPr>
        <w:t>VISTO</w:t>
      </w:r>
      <w:r>
        <w:t xml:space="preserve"> il decreto legislativo 16 marzo 1999, n. 79, recante</w:t>
      </w:r>
      <w:r w:rsidR="005B2B52">
        <w:t xml:space="preserve"> “</w:t>
      </w:r>
      <w:r>
        <w:t>Attuazione della direttiva 96/92/CE recante norme comuni per il</w:t>
      </w:r>
      <w:r w:rsidR="005B2B52">
        <w:t xml:space="preserve"> </w:t>
      </w:r>
      <w:r>
        <w:t>mercato interno dell'energia elettrica</w:t>
      </w:r>
      <w:r w:rsidR="005B2B52">
        <w:t>”</w:t>
      </w:r>
      <w:r>
        <w:t xml:space="preserve">; </w:t>
      </w:r>
    </w:p>
    <w:p w:rsidR="0029168C" w:rsidRDefault="0029168C" w:rsidP="0029168C">
      <w:pPr>
        <w:spacing w:before="240"/>
      </w:pPr>
      <w:r w:rsidRPr="007A3CB0">
        <w:rPr>
          <w:b/>
          <w:bCs/>
        </w:rPr>
        <w:t>VISTA</w:t>
      </w:r>
      <w:r>
        <w:t xml:space="preserve"> la legge 1° giugno 2002, n. 120, recante </w:t>
      </w:r>
      <w:r w:rsidR="005B2B52">
        <w:t>“</w:t>
      </w:r>
      <w:r>
        <w:t>Ratifica ed</w:t>
      </w:r>
      <w:r w:rsidR="005B2B52">
        <w:t xml:space="preserve"> </w:t>
      </w:r>
      <w:r>
        <w:t>esecuzione del Protocollo di Kyoto alla Convenzione quadro delle</w:t>
      </w:r>
      <w:r w:rsidR="005B2B52">
        <w:t xml:space="preserve"> </w:t>
      </w:r>
      <w:r>
        <w:t>Nazioni Unite sui cambiamenti climatici, fatto a Kyoto l</w:t>
      </w:r>
      <w:r w:rsidR="005B2B52">
        <w:t>’</w:t>
      </w:r>
      <w:r>
        <w:t>11 dicembre</w:t>
      </w:r>
      <w:r w:rsidR="005B2B52">
        <w:t xml:space="preserve"> </w:t>
      </w:r>
      <w:r>
        <w:t>1997</w:t>
      </w:r>
      <w:r w:rsidR="005B2B52">
        <w:t>”</w:t>
      </w:r>
      <w:r>
        <w:t xml:space="preserve">; </w:t>
      </w:r>
    </w:p>
    <w:p w:rsidR="0029168C" w:rsidRDefault="0029168C" w:rsidP="0029168C">
      <w:pPr>
        <w:spacing w:before="240"/>
      </w:pPr>
      <w:r w:rsidRPr="007A3CB0">
        <w:rPr>
          <w:b/>
          <w:bCs/>
        </w:rPr>
        <w:lastRenderedPageBreak/>
        <w:t>VISTA</w:t>
      </w:r>
      <w:r>
        <w:t xml:space="preserve"> la legge 23 agosto 2004, n. 239, recante </w:t>
      </w:r>
      <w:r w:rsidR="005B2B52">
        <w:t>“</w:t>
      </w:r>
      <w:r>
        <w:t>Riordino del settore</w:t>
      </w:r>
      <w:r w:rsidR="005B2B52">
        <w:t xml:space="preserve"> </w:t>
      </w:r>
      <w:r>
        <w:t>energetico, nonch</w:t>
      </w:r>
      <w:r w:rsidR="005B2B52">
        <w:t>é</w:t>
      </w:r>
      <w:r>
        <w:t>' delega al Governo per il riassetto delle</w:t>
      </w:r>
      <w:r w:rsidR="005B2B52">
        <w:t xml:space="preserve"> </w:t>
      </w:r>
      <w:r>
        <w:t>disposizioni vigenti in materia di energia</w:t>
      </w:r>
      <w:r w:rsidR="005B2B52">
        <w:t>”;</w:t>
      </w:r>
      <w:r>
        <w:t xml:space="preserve"> </w:t>
      </w:r>
    </w:p>
    <w:p w:rsidR="0094063E" w:rsidRDefault="0029168C" w:rsidP="0029168C">
      <w:pPr>
        <w:spacing w:before="240"/>
      </w:pPr>
      <w:r w:rsidRPr="007A3CB0">
        <w:rPr>
          <w:b/>
          <w:bCs/>
        </w:rPr>
        <w:t>VISTA</w:t>
      </w:r>
      <w:r>
        <w:t xml:space="preserve"> la legge 23 luglio 2009, n. 99, recante </w:t>
      </w:r>
      <w:r w:rsidR="000B4043">
        <w:t>“</w:t>
      </w:r>
      <w:r>
        <w:t>Disposizioni per lo</w:t>
      </w:r>
      <w:r w:rsidR="000B4043">
        <w:t xml:space="preserve"> </w:t>
      </w:r>
      <w:r>
        <w:t>sviluppo e l'internazionalizzazione delle imprese, nonch</w:t>
      </w:r>
      <w:r w:rsidR="000B4043">
        <w:t>é</w:t>
      </w:r>
      <w:r>
        <w:t xml:space="preserve"> in materia</w:t>
      </w:r>
      <w:r w:rsidR="000B4043">
        <w:t xml:space="preserve"> </w:t>
      </w:r>
      <w:r>
        <w:t>di energia</w:t>
      </w:r>
      <w:r w:rsidR="000B4043">
        <w:t>”</w:t>
      </w:r>
      <w:r>
        <w:t>;</w:t>
      </w:r>
    </w:p>
    <w:p w:rsidR="0094063E" w:rsidRDefault="0094063E" w:rsidP="0094063E">
      <w:pPr>
        <w:spacing w:before="240"/>
      </w:pPr>
      <w:r w:rsidRPr="007A3CB0">
        <w:rPr>
          <w:b/>
          <w:bCs/>
        </w:rPr>
        <w:t>VISTO</w:t>
      </w:r>
      <w:r>
        <w:t xml:space="preserve"> il decreto legislativo</w:t>
      </w:r>
      <w:r w:rsidRPr="007A3CB0">
        <w:t xml:space="preserve"> 11 febbraio 2010, n. 22</w:t>
      </w:r>
      <w:r>
        <w:t>, recante</w:t>
      </w:r>
      <w:r>
        <w:rPr>
          <w:b/>
          <w:bCs/>
        </w:rPr>
        <w:t xml:space="preserve"> “</w:t>
      </w:r>
      <w:r w:rsidRPr="007A3CB0">
        <w:t>Riassetto della normativa in materia di ricerca e coltivazione delle risorse geotermiche, a norma dell'articolo 27, comma 28, della legge 23 luglio 2009, n. 99</w:t>
      </w:r>
      <w:r>
        <w:t>”;</w:t>
      </w:r>
    </w:p>
    <w:p w:rsidR="001A7D31" w:rsidRDefault="0029168C" w:rsidP="0094063E">
      <w:pPr>
        <w:spacing w:before="240"/>
      </w:pPr>
      <w:r w:rsidRPr="007A3CB0">
        <w:rPr>
          <w:b/>
          <w:bCs/>
        </w:rPr>
        <w:t>VISTO</w:t>
      </w:r>
      <w:r>
        <w:t xml:space="preserve"> il decreto legislativo 3 marzo 2011, n. 28, recante</w:t>
      </w:r>
      <w:r w:rsidR="000B4043">
        <w:t xml:space="preserve"> “</w:t>
      </w:r>
      <w:r>
        <w:t>Attuazione</w:t>
      </w:r>
      <w:r w:rsidR="000B4043">
        <w:t xml:space="preserve"> </w:t>
      </w:r>
      <w:r>
        <w:t>della direttiva 2009/28/CE sulla promozione dell'uso dell'energia da</w:t>
      </w:r>
      <w:r w:rsidR="000B4043">
        <w:t xml:space="preserve"> </w:t>
      </w:r>
      <w:r>
        <w:t>fonti rinnovabili, recante modifica e successiva abrogazione delle</w:t>
      </w:r>
      <w:r w:rsidR="000B4043">
        <w:t xml:space="preserve"> </w:t>
      </w:r>
      <w:r>
        <w:t>direttive 2001/77/CE e 2003/30/CE</w:t>
      </w:r>
      <w:r w:rsidR="000B4043">
        <w:t>”</w:t>
      </w:r>
      <w:r>
        <w:t>;</w:t>
      </w:r>
    </w:p>
    <w:p w:rsidR="00D263DD" w:rsidRPr="00D263DD" w:rsidRDefault="00D263DD" w:rsidP="007A3CB0">
      <w:pPr>
        <w:spacing w:before="240"/>
      </w:pPr>
      <w:r w:rsidRPr="007A3CB0">
        <w:rPr>
          <w:b/>
          <w:bCs/>
        </w:rPr>
        <w:t>VISTO</w:t>
      </w:r>
      <w:r>
        <w:t xml:space="preserve"> il decreto legislativo 18 aprile 2016, n. 50</w:t>
      </w:r>
      <w:r w:rsidR="00996ACD">
        <w:t xml:space="preserve">, </w:t>
      </w:r>
      <w:r w:rsidR="000A435A">
        <w:t xml:space="preserve">recante </w:t>
      </w:r>
      <w:r w:rsidR="00996ACD">
        <w:t>“Codice dei contratti pubblici”;</w:t>
      </w:r>
    </w:p>
    <w:p w:rsidR="0084525B" w:rsidRDefault="001A7D31" w:rsidP="0084525B">
      <w:pPr>
        <w:spacing w:before="240" w:after="120"/>
        <w:rPr>
          <w:szCs w:val="24"/>
        </w:rPr>
      </w:pPr>
      <w:r w:rsidRPr="00F71656">
        <w:rPr>
          <w:b/>
          <w:bCs/>
          <w:szCs w:val="24"/>
        </w:rPr>
        <w:t>VISTO</w:t>
      </w:r>
      <w:r w:rsidRPr="00851895">
        <w:rPr>
          <w:szCs w:val="24"/>
        </w:rPr>
        <w:t xml:space="preserve"> il </w:t>
      </w:r>
      <w:r>
        <w:rPr>
          <w:szCs w:val="24"/>
        </w:rPr>
        <w:t>d</w:t>
      </w:r>
      <w:r w:rsidRPr="00851895">
        <w:rPr>
          <w:szCs w:val="24"/>
        </w:rPr>
        <w:t>ecreto</w:t>
      </w:r>
      <w:r>
        <w:rPr>
          <w:szCs w:val="24"/>
        </w:rPr>
        <w:t>-l</w:t>
      </w:r>
      <w:r w:rsidRPr="00851895">
        <w:rPr>
          <w:szCs w:val="24"/>
        </w:rPr>
        <w:t>egge 1</w:t>
      </w:r>
      <w:r>
        <w:rPr>
          <w:szCs w:val="24"/>
        </w:rPr>
        <w:t>°</w:t>
      </w:r>
      <w:r w:rsidRPr="00851895">
        <w:rPr>
          <w:szCs w:val="24"/>
        </w:rPr>
        <w:t xml:space="preserve"> marzo 2021</w:t>
      </w:r>
      <w:r>
        <w:rPr>
          <w:szCs w:val="24"/>
        </w:rPr>
        <w:t>,</w:t>
      </w:r>
      <w:r w:rsidRPr="00851895">
        <w:rPr>
          <w:szCs w:val="24"/>
        </w:rPr>
        <w:t xml:space="preserve"> n. 22</w:t>
      </w:r>
      <w:r>
        <w:rPr>
          <w:szCs w:val="24"/>
        </w:rPr>
        <w:t>,</w:t>
      </w:r>
      <w:r w:rsidRPr="00851895">
        <w:rPr>
          <w:szCs w:val="24"/>
        </w:rPr>
        <w:t xml:space="preserve"> convertito</w:t>
      </w:r>
      <w:r>
        <w:rPr>
          <w:szCs w:val="24"/>
        </w:rPr>
        <w:t>,</w:t>
      </w:r>
      <w:r w:rsidRPr="00851895">
        <w:rPr>
          <w:szCs w:val="24"/>
        </w:rPr>
        <w:t xml:space="preserve"> con modificazioni</w:t>
      </w:r>
      <w:r>
        <w:rPr>
          <w:szCs w:val="24"/>
        </w:rPr>
        <w:t>,</w:t>
      </w:r>
      <w:r w:rsidRPr="00851895">
        <w:rPr>
          <w:szCs w:val="24"/>
        </w:rPr>
        <w:t xml:space="preserve"> dalla </w:t>
      </w:r>
      <w:r>
        <w:rPr>
          <w:szCs w:val="24"/>
        </w:rPr>
        <w:t>l</w:t>
      </w:r>
      <w:r w:rsidRPr="00851895">
        <w:rPr>
          <w:szCs w:val="24"/>
        </w:rPr>
        <w:t>egge 22 aprile 2021, n. 55</w:t>
      </w:r>
      <w:r>
        <w:rPr>
          <w:szCs w:val="24"/>
        </w:rPr>
        <w:t>,</w:t>
      </w:r>
      <w:r w:rsidRPr="00851895">
        <w:rPr>
          <w:szCs w:val="24"/>
        </w:rPr>
        <w:t xml:space="preserve"> recante “Disposizioni urgenti in materia di riordino delle attribuzioni dei Ministeri”</w:t>
      </w:r>
      <w:r>
        <w:rPr>
          <w:szCs w:val="24"/>
        </w:rPr>
        <w:t>,</w:t>
      </w:r>
      <w:r w:rsidRPr="00851895">
        <w:rPr>
          <w:szCs w:val="24"/>
        </w:rPr>
        <w:t xml:space="preserve"> </w:t>
      </w:r>
      <w:r>
        <w:rPr>
          <w:szCs w:val="24"/>
        </w:rPr>
        <w:t>e in particolare</w:t>
      </w:r>
      <w:r w:rsidR="00F72528">
        <w:rPr>
          <w:szCs w:val="24"/>
        </w:rPr>
        <w:t xml:space="preserve">, </w:t>
      </w:r>
      <w:r>
        <w:rPr>
          <w:szCs w:val="24"/>
        </w:rPr>
        <w:t xml:space="preserve">l’articolo 2 </w:t>
      </w:r>
      <w:r w:rsidRPr="00851895">
        <w:rPr>
          <w:szCs w:val="24"/>
        </w:rPr>
        <w:t xml:space="preserve">che </w:t>
      </w:r>
      <w:r>
        <w:rPr>
          <w:szCs w:val="24"/>
        </w:rPr>
        <w:t xml:space="preserve">ha </w:t>
      </w:r>
      <w:r w:rsidRPr="00851895">
        <w:rPr>
          <w:szCs w:val="24"/>
        </w:rPr>
        <w:t xml:space="preserve">istituito il Ministero della </w:t>
      </w:r>
      <w:r>
        <w:rPr>
          <w:szCs w:val="24"/>
        </w:rPr>
        <w:t>t</w:t>
      </w:r>
      <w:r w:rsidRPr="00851895">
        <w:rPr>
          <w:szCs w:val="24"/>
        </w:rPr>
        <w:t xml:space="preserve">ransizione </w:t>
      </w:r>
      <w:r>
        <w:rPr>
          <w:szCs w:val="24"/>
        </w:rPr>
        <w:t>e</w:t>
      </w:r>
      <w:r w:rsidRPr="00851895">
        <w:rPr>
          <w:szCs w:val="24"/>
        </w:rPr>
        <w:t>cologica</w:t>
      </w:r>
      <w:r>
        <w:rPr>
          <w:szCs w:val="24"/>
        </w:rPr>
        <w:t xml:space="preserve"> attribuendo allo stesso, tra l’altro, le competenze in materia di </w:t>
      </w:r>
      <w:r w:rsidRPr="00EE6BF6">
        <w:rPr>
          <w:szCs w:val="24"/>
        </w:rPr>
        <w:t>approvazione della disciplina del mercato elettrico e del</w:t>
      </w:r>
      <w:r>
        <w:rPr>
          <w:szCs w:val="24"/>
        </w:rPr>
        <w:t xml:space="preserve"> </w:t>
      </w:r>
      <w:r w:rsidRPr="00EE6BF6">
        <w:rPr>
          <w:szCs w:val="24"/>
        </w:rPr>
        <w:t>mercato del gas naturale</w:t>
      </w:r>
      <w:r>
        <w:rPr>
          <w:szCs w:val="24"/>
        </w:rPr>
        <w:t>,</w:t>
      </w:r>
      <w:r w:rsidRPr="00EE6BF6">
        <w:rPr>
          <w:szCs w:val="24"/>
        </w:rPr>
        <w:t xml:space="preserve"> dei criteri per l'incentivazione</w:t>
      </w:r>
      <w:r>
        <w:rPr>
          <w:szCs w:val="24"/>
        </w:rPr>
        <w:t xml:space="preserve"> </w:t>
      </w:r>
      <w:r w:rsidRPr="00EE6BF6">
        <w:rPr>
          <w:szCs w:val="24"/>
        </w:rPr>
        <w:t>dell</w:t>
      </w:r>
      <w:r>
        <w:rPr>
          <w:szCs w:val="24"/>
        </w:rPr>
        <w:t>’</w:t>
      </w:r>
      <w:r w:rsidRPr="00EE6BF6">
        <w:rPr>
          <w:szCs w:val="24"/>
        </w:rPr>
        <w:t>energia elettrica da fonte rinnovabile di cui al decreto</w:t>
      </w:r>
      <w:r>
        <w:rPr>
          <w:szCs w:val="24"/>
        </w:rPr>
        <w:t xml:space="preserve"> </w:t>
      </w:r>
      <w:r w:rsidRPr="00EE6BF6">
        <w:rPr>
          <w:szCs w:val="24"/>
        </w:rPr>
        <w:t>legislativo 16 marzo 1999, n. 79, e di cui al decreto legislativo 3</w:t>
      </w:r>
      <w:r>
        <w:rPr>
          <w:szCs w:val="24"/>
        </w:rPr>
        <w:t xml:space="preserve"> </w:t>
      </w:r>
      <w:r w:rsidRPr="00EE6BF6">
        <w:rPr>
          <w:szCs w:val="24"/>
        </w:rPr>
        <w:t>marzo 2011, n. 28, e l</w:t>
      </w:r>
      <w:r>
        <w:rPr>
          <w:szCs w:val="24"/>
        </w:rPr>
        <w:t>’</w:t>
      </w:r>
      <w:r w:rsidRPr="00EE6BF6">
        <w:rPr>
          <w:szCs w:val="24"/>
        </w:rPr>
        <w:t>esercizio di ogni altra competenza gi</w:t>
      </w:r>
      <w:r>
        <w:rPr>
          <w:szCs w:val="24"/>
        </w:rPr>
        <w:t>à</w:t>
      </w:r>
      <w:r w:rsidRPr="00EE6BF6">
        <w:rPr>
          <w:szCs w:val="24"/>
        </w:rPr>
        <w:t xml:space="preserve"> a</w:t>
      </w:r>
      <w:r>
        <w:rPr>
          <w:szCs w:val="24"/>
        </w:rPr>
        <w:t xml:space="preserve"> </w:t>
      </w:r>
      <w:r w:rsidRPr="00EE6BF6">
        <w:rPr>
          <w:szCs w:val="24"/>
        </w:rPr>
        <w:t>qualunque titolo esercitata dal Ministero dello sviluppo economico</w:t>
      </w:r>
      <w:r>
        <w:rPr>
          <w:szCs w:val="24"/>
        </w:rPr>
        <w:t xml:space="preserve"> </w:t>
      </w:r>
      <w:r w:rsidRPr="00EE6BF6">
        <w:rPr>
          <w:szCs w:val="24"/>
        </w:rPr>
        <w:t>fino alla data di entrata in vigore del decreto</w:t>
      </w:r>
      <w:r>
        <w:rPr>
          <w:szCs w:val="24"/>
        </w:rPr>
        <w:t xml:space="preserve"> stesso</w:t>
      </w:r>
      <w:r w:rsidRPr="00EE6BF6">
        <w:rPr>
          <w:szCs w:val="24"/>
        </w:rPr>
        <w:t xml:space="preserve"> </w:t>
      </w:r>
      <w:r>
        <w:rPr>
          <w:szCs w:val="24"/>
        </w:rPr>
        <w:t>i</w:t>
      </w:r>
      <w:r w:rsidRPr="00EE6BF6">
        <w:rPr>
          <w:szCs w:val="24"/>
        </w:rPr>
        <w:t>n materia</w:t>
      </w:r>
      <w:r>
        <w:rPr>
          <w:szCs w:val="24"/>
        </w:rPr>
        <w:t xml:space="preserve"> </w:t>
      </w:r>
      <w:r w:rsidRPr="00EE6BF6">
        <w:rPr>
          <w:szCs w:val="24"/>
        </w:rPr>
        <w:t>di concorrenza, di tutela dei consumatori utenti, in collaborazione</w:t>
      </w:r>
      <w:r>
        <w:rPr>
          <w:szCs w:val="24"/>
        </w:rPr>
        <w:t xml:space="preserve"> </w:t>
      </w:r>
      <w:r w:rsidRPr="00EE6BF6">
        <w:rPr>
          <w:szCs w:val="24"/>
        </w:rPr>
        <w:t>con il Ministero dello sviluppo economico, e di regolazione dei</w:t>
      </w:r>
      <w:r>
        <w:rPr>
          <w:szCs w:val="24"/>
        </w:rPr>
        <w:t xml:space="preserve"> </w:t>
      </w:r>
      <w:r w:rsidRPr="00EE6BF6">
        <w:rPr>
          <w:szCs w:val="24"/>
        </w:rPr>
        <w:t>servizi di pubblica utilit</w:t>
      </w:r>
      <w:r>
        <w:rPr>
          <w:szCs w:val="24"/>
        </w:rPr>
        <w:t>à</w:t>
      </w:r>
      <w:r w:rsidRPr="00EE6BF6">
        <w:rPr>
          <w:szCs w:val="24"/>
        </w:rPr>
        <w:t xml:space="preserve"> nei settori energetici</w:t>
      </w:r>
      <w:r w:rsidRPr="00851895">
        <w:rPr>
          <w:szCs w:val="24"/>
        </w:rPr>
        <w:t>;</w:t>
      </w:r>
    </w:p>
    <w:p w:rsidR="00E02244" w:rsidRDefault="001A7D31" w:rsidP="00D170B2">
      <w:pPr>
        <w:spacing w:before="240" w:after="120"/>
        <w:rPr>
          <w:rFonts w:ascii="inherit" w:hAnsi="inherit"/>
          <w:color w:val="000000" w:themeColor="text1"/>
        </w:rPr>
      </w:pPr>
      <w:r w:rsidRPr="007A3CB0">
        <w:rPr>
          <w:b/>
          <w:bCs/>
        </w:rPr>
        <w:t>VISTO</w:t>
      </w:r>
      <w:r>
        <w:t xml:space="preserve"> il decreto legislativo 8 novembre 2021, n. 199, recante “Attuazione della direttiva (UE) 2018/2001 del Parlamento europeo e del Consiglio, dell’11 dicembre 2018, sulla promozione dell’uso</w:t>
      </w:r>
      <w:r w:rsidR="002107BB">
        <w:rPr>
          <w:szCs w:val="24"/>
        </w:rPr>
        <w:t xml:space="preserve"> </w:t>
      </w:r>
      <w:r>
        <w:t>dell’energia da fonti rinnovabili”</w:t>
      </w:r>
      <w:r w:rsidR="002107BB" w:rsidRPr="002107BB">
        <w:rPr>
          <w:rFonts w:ascii="inherit" w:hAnsi="inherit"/>
          <w:color w:val="000000" w:themeColor="text1"/>
        </w:rPr>
        <w:t xml:space="preserve"> </w:t>
      </w:r>
      <w:r w:rsidR="002107BB">
        <w:rPr>
          <w:rFonts w:ascii="inherit" w:hAnsi="inherit"/>
          <w:color w:val="000000" w:themeColor="text1"/>
        </w:rPr>
        <w:t>(nel seguito: decreto legislativo n. 199 del 2021) e</w:t>
      </w:r>
      <w:r w:rsidR="006A3132">
        <w:rPr>
          <w:rFonts w:ascii="inherit" w:hAnsi="inherit"/>
          <w:color w:val="000000" w:themeColor="text1"/>
        </w:rPr>
        <w:t>,</w:t>
      </w:r>
      <w:r w:rsidR="002107BB">
        <w:rPr>
          <w:rFonts w:ascii="inherit" w:hAnsi="inherit"/>
          <w:color w:val="000000" w:themeColor="text1"/>
        </w:rPr>
        <w:t xml:space="preserve"> in particolare</w:t>
      </w:r>
      <w:r w:rsidR="006A3132">
        <w:rPr>
          <w:rFonts w:ascii="inherit" w:hAnsi="inherit"/>
          <w:color w:val="000000" w:themeColor="text1"/>
        </w:rPr>
        <w:t>,</w:t>
      </w:r>
      <w:r w:rsidR="002107BB">
        <w:rPr>
          <w:rFonts w:ascii="inherit" w:hAnsi="inherit"/>
          <w:color w:val="000000" w:themeColor="text1"/>
        </w:rPr>
        <w:t xml:space="preserve"> il Titolo II </w:t>
      </w:r>
      <w:r w:rsidR="00D170B2">
        <w:rPr>
          <w:rFonts w:ascii="inherit" w:hAnsi="inherit"/>
          <w:color w:val="000000" w:themeColor="text1"/>
        </w:rPr>
        <w:t xml:space="preserve">che </w:t>
      </w:r>
      <w:r w:rsidR="002107BB" w:rsidRPr="002107BB">
        <w:rPr>
          <w:rFonts w:ascii="inherit" w:hAnsi="inherit"/>
          <w:color w:val="000000" w:themeColor="text1"/>
        </w:rPr>
        <w:t>disciplina i regimi di sostegno applicati</w:t>
      </w:r>
      <w:r w:rsidR="00D170B2">
        <w:rPr>
          <w:rFonts w:ascii="inherit" w:hAnsi="inherit"/>
          <w:color w:val="000000" w:themeColor="text1"/>
        </w:rPr>
        <w:t xml:space="preserve"> </w:t>
      </w:r>
      <w:r w:rsidR="002107BB" w:rsidRPr="002107BB">
        <w:rPr>
          <w:rFonts w:ascii="inherit" w:hAnsi="inherit"/>
          <w:color w:val="000000" w:themeColor="text1"/>
        </w:rPr>
        <w:t>all</w:t>
      </w:r>
      <w:r w:rsidR="00D170B2">
        <w:rPr>
          <w:rFonts w:ascii="inherit" w:hAnsi="inherit"/>
          <w:color w:val="000000" w:themeColor="text1"/>
        </w:rPr>
        <w:t>’</w:t>
      </w:r>
      <w:r w:rsidR="002107BB" w:rsidRPr="002107BB">
        <w:rPr>
          <w:rFonts w:ascii="inherit" w:hAnsi="inherit"/>
          <w:color w:val="000000" w:themeColor="text1"/>
        </w:rPr>
        <w:t>energia prodotta da fonti rinnovabili attraverso il riordino e il</w:t>
      </w:r>
      <w:r w:rsidR="00D170B2">
        <w:rPr>
          <w:rFonts w:ascii="inherit" w:hAnsi="inherit"/>
          <w:color w:val="000000" w:themeColor="text1"/>
        </w:rPr>
        <w:t xml:space="preserve"> </w:t>
      </w:r>
      <w:r w:rsidR="002107BB" w:rsidRPr="002107BB">
        <w:rPr>
          <w:rFonts w:ascii="inherit" w:hAnsi="inherit"/>
          <w:color w:val="000000" w:themeColor="text1"/>
        </w:rPr>
        <w:t>potenziamento dei sistemi di incentivazione vigenti, in misura</w:t>
      </w:r>
      <w:r w:rsidR="00D170B2">
        <w:rPr>
          <w:rFonts w:ascii="inherit" w:hAnsi="inherit"/>
          <w:color w:val="000000" w:themeColor="text1"/>
        </w:rPr>
        <w:t xml:space="preserve"> </w:t>
      </w:r>
      <w:r w:rsidR="002107BB" w:rsidRPr="002107BB">
        <w:rPr>
          <w:rFonts w:ascii="inherit" w:hAnsi="inherit"/>
          <w:color w:val="000000" w:themeColor="text1"/>
        </w:rPr>
        <w:t xml:space="preserve">adeguata al raggiungimento degli obiettivi </w:t>
      </w:r>
      <w:r w:rsidR="00D170B2">
        <w:rPr>
          <w:rFonts w:ascii="inherit" w:hAnsi="inherit"/>
          <w:color w:val="000000" w:themeColor="text1"/>
        </w:rPr>
        <w:t xml:space="preserve">nazionali e </w:t>
      </w:r>
      <w:r w:rsidR="002107BB" w:rsidRPr="002107BB">
        <w:rPr>
          <w:rFonts w:ascii="inherit" w:hAnsi="inherit"/>
          <w:color w:val="000000" w:themeColor="text1"/>
        </w:rPr>
        <w:t>attraverso la predisposizione di criteri e strumenti che promuovano</w:t>
      </w:r>
      <w:r w:rsidR="00D170B2">
        <w:rPr>
          <w:rFonts w:ascii="inherit" w:hAnsi="inherit"/>
          <w:color w:val="000000" w:themeColor="text1"/>
        </w:rPr>
        <w:t xml:space="preserve"> </w:t>
      </w:r>
      <w:r w:rsidR="002107BB" w:rsidRPr="002107BB">
        <w:rPr>
          <w:rFonts w:ascii="inherit" w:hAnsi="inherit"/>
          <w:color w:val="000000" w:themeColor="text1"/>
        </w:rPr>
        <w:t>l</w:t>
      </w:r>
      <w:r w:rsidR="00D170B2">
        <w:rPr>
          <w:rFonts w:ascii="inherit" w:hAnsi="inherit"/>
          <w:color w:val="000000" w:themeColor="text1"/>
        </w:rPr>
        <w:t>’</w:t>
      </w:r>
      <w:r w:rsidR="002107BB" w:rsidRPr="002107BB">
        <w:rPr>
          <w:rFonts w:ascii="inherit" w:hAnsi="inherit"/>
          <w:color w:val="000000" w:themeColor="text1"/>
        </w:rPr>
        <w:t>efficacia, l</w:t>
      </w:r>
      <w:r w:rsidR="00D170B2">
        <w:rPr>
          <w:rFonts w:ascii="inherit" w:hAnsi="inherit"/>
          <w:color w:val="000000" w:themeColor="text1"/>
        </w:rPr>
        <w:t>’</w:t>
      </w:r>
      <w:r w:rsidR="002107BB" w:rsidRPr="002107BB">
        <w:rPr>
          <w:rFonts w:ascii="inherit" w:hAnsi="inherit"/>
          <w:color w:val="000000" w:themeColor="text1"/>
        </w:rPr>
        <w:t>efficienza e la semplificazione, perseguendo, nel</w:t>
      </w:r>
      <w:r w:rsidR="00D170B2">
        <w:rPr>
          <w:rFonts w:ascii="inherit" w:hAnsi="inherit"/>
          <w:color w:val="000000" w:themeColor="text1"/>
        </w:rPr>
        <w:t xml:space="preserve"> </w:t>
      </w:r>
      <w:r w:rsidR="002107BB" w:rsidRPr="002107BB">
        <w:rPr>
          <w:rFonts w:ascii="inherit" w:hAnsi="inherit"/>
          <w:color w:val="000000" w:themeColor="text1"/>
        </w:rPr>
        <w:t>contempo, l'armonizzazione con altri strumenti di analoga finalit</w:t>
      </w:r>
      <w:r w:rsidR="00D170B2">
        <w:rPr>
          <w:rFonts w:ascii="inherit" w:hAnsi="inherit"/>
          <w:color w:val="000000" w:themeColor="text1"/>
        </w:rPr>
        <w:t>à</w:t>
      </w:r>
      <w:r w:rsidR="002107BB" w:rsidRPr="002107BB">
        <w:rPr>
          <w:rFonts w:ascii="inherit" w:hAnsi="inherit"/>
          <w:color w:val="000000" w:themeColor="text1"/>
        </w:rPr>
        <w:t>,</w:t>
      </w:r>
      <w:r w:rsidR="00D170B2" w:rsidRPr="00D170B2">
        <w:t xml:space="preserve"> </w:t>
      </w:r>
      <w:r w:rsidR="00D170B2" w:rsidRPr="00D170B2">
        <w:rPr>
          <w:rFonts w:ascii="inherit" w:hAnsi="inherit"/>
          <w:color w:val="000000" w:themeColor="text1"/>
        </w:rPr>
        <w:t>ivi inclusi quelli previsti dal Piano Nazionale di Ripresa e</w:t>
      </w:r>
      <w:r w:rsidR="00D170B2">
        <w:rPr>
          <w:rFonts w:ascii="inherit" w:hAnsi="inherit"/>
          <w:color w:val="000000" w:themeColor="text1"/>
        </w:rPr>
        <w:t xml:space="preserve"> </w:t>
      </w:r>
      <w:r w:rsidR="00D170B2" w:rsidRPr="00D170B2">
        <w:rPr>
          <w:rFonts w:ascii="inherit" w:hAnsi="inherit"/>
          <w:color w:val="000000" w:themeColor="text1"/>
        </w:rPr>
        <w:t>Resilienza</w:t>
      </w:r>
      <w:r w:rsidR="00D170B2">
        <w:rPr>
          <w:rFonts w:ascii="inherit" w:hAnsi="inherit"/>
          <w:color w:val="000000" w:themeColor="text1"/>
        </w:rPr>
        <w:t>;</w:t>
      </w:r>
      <w:r w:rsidR="0032499D">
        <w:rPr>
          <w:rFonts w:ascii="inherit" w:hAnsi="inherit"/>
          <w:color w:val="000000" w:themeColor="text1"/>
        </w:rPr>
        <w:t xml:space="preserve"> </w:t>
      </w:r>
    </w:p>
    <w:p w:rsidR="00457C53" w:rsidRDefault="00457C53" w:rsidP="00D170B2">
      <w:pPr>
        <w:spacing w:before="240" w:after="120"/>
        <w:rPr>
          <w:rFonts w:ascii="inherit" w:hAnsi="inherit"/>
          <w:color w:val="000000" w:themeColor="text1"/>
        </w:rPr>
      </w:pPr>
      <w:r w:rsidRPr="004C4B53">
        <w:rPr>
          <w:rFonts w:ascii="inherit" w:hAnsi="inherit"/>
          <w:b/>
          <w:color w:val="000000" w:themeColor="text1"/>
        </w:rPr>
        <w:t>CONSIDERATO</w:t>
      </w:r>
      <w:r>
        <w:rPr>
          <w:rFonts w:ascii="inherit" w:hAnsi="inherit"/>
          <w:color w:val="000000" w:themeColor="text1"/>
        </w:rPr>
        <w:t xml:space="preserve"> che l’articolo 6 del decreto legislativo n. 199/2021 stabilisce che </w:t>
      </w:r>
      <w:r w:rsidRPr="00457C53">
        <w:rPr>
          <w:rFonts w:ascii="inherit" w:hAnsi="inherit"/>
          <w:color w:val="000000" w:themeColor="text1"/>
        </w:rPr>
        <w:t>con uno o più decreti del Ministro della t</w:t>
      </w:r>
      <w:r>
        <w:rPr>
          <w:rFonts w:ascii="inherit" w:hAnsi="inherit"/>
          <w:color w:val="000000" w:themeColor="text1"/>
        </w:rPr>
        <w:t>ransizione ecologica, sentite l’</w:t>
      </w:r>
      <w:r w:rsidRPr="00457C53">
        <w:rPr>
          <w:rFonts w:ascii="inherit" w:hAnsi="inherit"/>
          <w:color w:val="000000" w:themeColor="text1"/>
        </w:rPr>
        <w:t xml:space="preserve">ARERA e la </w:t>
      </w:r>
      <w:r>
        <w:rPr>
          <w:rFonts w:ascii="inherit" w:hAnsi="inherit"/>
          <w:color w:val="000000" w:themeColor="text1"/>
        </w:rPr>
        <w:t>Conferenza unificata di cui all’</w:t>
      </w:r>
      <w:r w:rsidRPr="00457C53">
        <w:rPr>
          <w:rFonts w:ascii="inherit" w:hAnsi="inherit"/>
          <w:color w:val="000000" w:themeColor="text1"/>
        </w:rPr>
        <w:t>articolo 8 del decreto legislativo 28 agosto 1997, n. 281, s</w:t>
      </w:r>
      <w:r>
        <w:rPr>
          <w:rFonts w:ascii="inherit" w:hAnsi="inherit"/>
          <w:color w:val="000000" w:themeColor="text1"/>
        </w:rPr>
        <w:t>ono definite le modalità per l’</w:t>
      </w:r>
      <w:r w:rsidRPr="00457C53">
        <w:rPr>
          <w:rFonts w:ascii="inherit" w:hAnsi="inherit"/>
          <w:color w:val="000000" w:themeColor="text1"/>
        </w:rPr>
        <w:t xml:space="preserve">implementazione dei sistemi di incentivazione </w:t>
      </w:r>
      <w:r>
        <w:rPr>
          <w:rFonts w:ascii="inherit" w:hAnsi="inherit"/>
          <w:color w:val="000000" w:themeColor="text1"/>
        </w:rPr>
        <w:t xml:space="preserve">per i grandi impianti, </w:t>
      </w:r>
      <w:r w:rsidRPr="00457C53">
        <w:rPr>
          <w:rFonts w:ascii="inherit" w:hAnsi="inherit"/>
          <w:color w:val="000000" w:themeColor="text1"/>
        </w:rPr>
        <w:t>con potenza superiore a una soglia almeno pari a 1 MW</w:t>
      </w:r>
      <w:r>
        <w:rPr>
          <w:rFonts w:ascii="inherit" w:hAnsi="inherit"/>
          <w:color w:val="000000" w:themeColor="text1"/>
        </w:rPr>
        <w:t xml:space="preserve">; </w:t>
      </w:r>
    </w:p>
    <w:p w:rsidR="00992F6D" w:rsidRDefault="00457C53" w:rsidP="00D170B2">
      <w:pPr>
        <w:spacing w:before="240" w:after="120"/>
        <w:rPr>
          <w:rFonts w:ascii="inherit" w:hAnsi="inherit"/>
          <w:color w:val="000000" w:themeColor="text1"/>
        </w:rPr>
      </w:pPr>
      <w:r w:rsidRPr="00992F6D">
        <w:rPr>
          <w:rFonts w:ascii="inherit" w:hAnsi="inherit"/>
          <w:b/>
          <w:color w:val="000000" w:themeColor="text1"/>
        </w:rPr>
        <w:t>CONSIDERATO</w:t>
      </w:r>
      <w:r>
        <w:rPr>
          <w:rFonts w:ascii="inherit" w:hAnsi="inherit"/>
          <w:color w:val="000000" w:themeColor="text1"/>
        </w:rPr>
        <w:t>, inoltre</w:t>
      </w:r>
      <w:r w:rsidR="008978C9">
        <w:rPr>
          <w:rFonts w:ascii="inherit" w:hAnsi="inherit"/>
          <w:color w:val="000000" w:themeColor="text1"/>
        </w:rPr>
        <w:t>, che l’articolo 7 del decreto legislativo n. 199/2021</w:t>
      </w:r>
      <w:r w:rsidR="001377EA">
        <w:rPr>
          <w:rFonts w:ascii="inherit" w:hAnsi="inherit"/>
          <w:color w:val="000000" w:themeColor="text1"/>
        </w:rPr>
        <w:t xml:space="preserve"> stabilisce che </w:t>
      </w:r>
      <w:r w:rsidR="001377EA" w:rsidRPr="001377EA">
        <w:rPr>
          <w:rFonts w:ascii="inherit" w:hAnsi="inherit"/>
          <w:color w:val="000000" w:themeColor="text1"/>
        </w:rPr>
        <w:t>con uno o più decreti del Ministro della transizione ecologica, di concerto con il Ministro delle politiche agricole e forestali per gli aspetti di competenza</w:t>
      </w:r>
      <w:r w:rsidR="001377EA">
        <w:rPr>
          <w:rFonts w:ascii="inherit" w:hAnsi="inherit"/>
          <w:color w:val="000000" w:themeColor="text1"/>
        </w:rPr>
        <w:t xml:space="preserve">, </w:t>
      </w:r>
      <w:r w:rsidR="001377EA" w:rsidRPr="001377EA">
        <w:rPr>
          <w:rFonts w:ascii="inherit" w:hAnsi="inherit"/>
          <w:color w:val="000000" w:themeColor="text1"/>
        </w:rPr>
        <w:t>sentite l’ARERA e la Conferenza unificata di cui all’articolo 8 del decreto legislativo 28 agosto 1997, n. 281, sono definite le modalità per l’implementazione dei sistemi di incentivazione per</w:t>
      </w:r>
      <w:r w:rsidR="001377EA" w:rsidRPr="001377EA">
        <w:t xml:space="preserve"> </w:t>
      </w:r>
      <w:r w:rsidR="001377EA" w:rsidRPr="001377EA">
        <w:rPr>
          <w:rFonts w:ascii="inherit" w:hAnsi="inherit"/>
          <w:color w:val="000000" w:themeColor="text1"/>
        </w:rPr>
        <w:t>impianti di piccola taglia</w:t>
      </w:r>
      <w:r w:rsidR="001377EA">
        <w:rPr>
          <w:rFonts w:ascii="inherit" w:hAnsi="inherit"/>
          <w:color w:val="000000" w:themeColor="text1"/>
        </w:rPr>
        <w:t>, aventi potenza inferiore a 1 MW;</w:t>
      </w:r>
    </w:p>
    <w:p w:rsidR="00457C53" w:rsidRDefault="00992F6D" w:rsidP="00D170B2">
      <w:pPr>
        <w:spacing w:before="240" w:after="120"/>
        <w:rPr>
          <w:rFonts w:ascii="inherit" w:hAnsi="inherit"/>
          <w:color w:val="000000" w:themeColor="text1"/>
        </w:rPr>
      </w:pPr>
      <w:r w:rsidRPr="001377EA">
        <w:rPr>
          <w:rFonts w:ascii="inherit" w:hAnsi="inherit"/>
          <w:b/>
          <w:color w:val="000000" w:themeColor="text1"/>
        </w:rPr>
        <w:t>RITENUTO</w:t>
      </w:r>
      <w:r>
        <w:rPr>
          <w:rFonts w:ascii="inherit" w:hAnsi="inherit"/>
          <w:color w:val="000000" w:themeColor="text1"/>
        </w:rPr>
        <w:t xml:space="preserve"> </w:t>
      </w:r>
      <w:r w:rsidR="001377EA">
        <w:rPr>
          <w:rFonts w:ascii="inherit" w:hAnsi="inherit"/>
          <w:color w:val="000000" w:themeColor="text1"/>
        </w:rPr>
        <w:t>opportuno</w:t>
      </w:r>
      <w:r w:rsidR="00FE0B51">
        <w:rPr>
          <w:rFonts w:ascii="inherit" w:hAnsi="inherit"/>
          <w:color w:val="000000" w:themeColor="text1"/>
        </w:rPr>
        <w:t>, per esigenze di organicità della disciplina,</w:t>
      </w:r>
      <w:r w:rsidR="00E02244">
        <w:rPr>
          <w:rFonts w:ascii="inherit" w:hAnsi="inherit"/>
          <w:color w:val="000000" w:themeColor="text1"/>
        </w:rPr>
        <w:t xml:space="preserve"> </w:t>
      </w:r>
      <w:r w:rsidR="00FE0B51">
        <w:rPr>
          <w:rFonts w:ascii="inherit" w:hAnsi="inherit"/>
          <w:color w:val="000000" w:themeColor="text1"/>
        </w:rPr>
        <w:t>definire nell’ambito di un medesimo provvedimento</w:t>
      </w:r>
      <w:r w:rsidR="001377EA">
        <w:rPr>
          <w:rFonts w:ascii="inherit" w:hAnsi="inherit"/>
          <w:color w:val="000000" w:themeColor="text1"/>
        </w:rPr>
        <w:t xml:space="preserve"> le modalità per l’implementazione dei sistemi di incentivazione di cui agli </w:t>
      </w:r>
      <w:r w:rsidR="001377EA">
        <w:rPr>
          <w:rFonts w:ascii="inherit" w:hAnsi="inherit"/>
          <w:color w:val="000000" w:themeColor="text1"/>
        </w:rPr>
        <w:lastRenderedPageBreak/>
        <w:t>articoli 6 e 7 del decreto legislativo n. 199/2021 a favore di impianti a fonti rinnovabili innovativi o con costi di generazione elevati e</w:t>
      </w:r>
      <w:r w:rsidR="00FE0B51">
        <w:rPr>
          <w:rFonts w:ascii="inherit" w:hAnsi="inherit"/>
          <w:color w:val="000000" w:themeColor="text1"/>
        </w:rPr>
        <w:t>, pertanto,</w:t>
      </w:r>
      <w:r w:rsidR="001377EA">
        <w:rPr>
          <w:rFonts w:ascii="inherit" w:hAnsi="inherit"/>
          <w:color w:val="000000" w:themeColor="text1"/>
        </w:rPr>
        <w:t xml:space="preserve"> adottare il presente decreto di concerto, per gli aspetti di competenza, con il Ministro delle politiche agricole alimentari e forestali; </w:t>
      </w:r>
    </w:p>
    <w:p w:rsidR="001A7D31" w:rsidRPr="00F370DF" w:rsidRDefault="001A7D31" w:rsidP="007A3CB0">
      <w:r>
        <w:rPr>
          <w:b/>
          <w:bCs/>
        </w:rPr>
        <w:t>VISTO</w:t>
      </w:r>
      <w:r w:rsidR="00F370DF">
        <w:rPr>
          <w:b/>
          <w:bCs/>
        </w:rPr>
        <w:t xml:space="preserve"> </w:t>
      </w:r>
      <w:r w:rsidR="00F370DF">
        <w:t>il decreto legislativo</w:t>
      </w:r>
      <w:r w:rsidR="00F370DF" w:rsidRPr="00F370DF">
        <w:t xml:space="preserve"> 8 novembre 2021, n. 210</w:t>
      </w:r>
      <w:r w:rsidR="00F370DF">
        <w:t>, recante</w:t>
      </w:r>
      <w:r w:rsidR="00F370DF" w:rsidRPr="00F370DF">
        <w:t xml:space="preserve"> </w:t>
      </w:r>
      <w:r w:rsidR="00F370DF">
        <w:t>“</w:t>
      </w:r>
      <w:r w:rsidR="00F370DF" w:rsidRPr="00F370DF">
        <w:t>Attuazione della direttiva UE 2019/944, del Parlamento europeo e del Consiglio, del 5 giugno 2019, relativa a norme comuni per il mercato interno dell'energia elettrica e che modifica la direttiva 2012/27/UE, nonch</w:t>
      </w:r>
      <w:r w:rsidR="00F370DF">
        <w:t>é</w:t>
      </w:r>
      <w:r w:rsidR="00F370DF" w:rsidRPr="00F370DF">
        <w:t xml:space="preserve"> recante disposizioni per l</w:t>
      </w:r>
      <w:r w:rsidR="00F370DF">
        <w:t>’</w:t>
      </w:r>
      <w:r w:rsidR="00F370DF" w:rsidRPr="00F370DF">
        <w:t>adeguamento della normativa nazionale alle disposizioni del regolamento UE 943/2019 sul mercato interno dell</w:t>
      </w:r>
      <w:r w:rsidR="00F370DF">
        <w:t>’</w:t>
      </w:r>
      <w:r w:rsidR="00F370DF" w:rsidRPr="00F370DF">
        <w:t>energia elettrica e del regolamento UE 941/2019 sulla preparazione ai rischi nel settore dell</w:t>
      </w:r>
      <w:r w:rsidR="00F370DF">
        <w:t>’</w:t>
      </w:r>
      <w:r w:rsidR="00F370DF" w:rsidRPr="00F370DF">
        <w:t>energia elettrica e che abroga la direttiva 2005/89/CE</w:t>
      </w:r>
      <w:r w:rsidR="00F370DF">
        <w:t>”;</w:t>
      </w:r>
    </w:p>
    <w:p w:rsidR="00F23D07" w:rsidRDefault="00F23D07" w:rsidP="00F23D07">
      <w:pPr>
        <w:spacing w:before="240" w:after="120"/>
        <w:rPr>
          <w:rFonts w:eastAsia="Calibri"/>
          <w:bCs/>
          <w:color w:val="000000"/>
          <w:szCs w:val="24"/>
        </w:rPr>
      </w:pPr>
      <w:r w:rsidRPr="00F71656">
        <w:rPr>
          <w:b/>
          <w:bCs/>
          <w:szCs w:val="24"/>
        </w:rPr>
        <w:t>VISTO</w:t>
      </w:r>
      <w:r w:rsidRPr="001E7ABF">
        <w:rPr>
          <w:szCs w:val="24"/>
        </w:rPr>
        <w:t xml:space="preserve"> il </w:t>
      </w:r>
      <w:r w:rsidR="00FE0B51" w:rsidRPr="007A3CB0">
        <w:rPr>
          <w:szCs w:val="24"/>
        </w:rPr>
        <w:t xml:space="preserve">Piano Nazionale Integrato per l’Energia e il Clima (nel seguito: PNIEC) </w:t>
      </w:r>
      <w:r w:rsidR="00234D42" w:rsidRPr="001E7ABF">
        <w:rPr>
          <w:szCs w:val="24"/>
        </w:rPr>
        <w:t xml:space="preserve"> predisposto dall’Italia in attuazione </w:t>
      </w:r>
      <w:r w:rsidR="0084525B">
        <w:rPr>
          <w:szCs w:val="24"/>
        </w:rPr>
        <w:t>del r</w:t>
      </w:r>
      <w:r w:rsidR="00234D42" w:rsidRPr="001E7ABF">
        <w:rPr>
          <w:szCs w:val="24"/>
        </w:rPr>
        <w:t>egolamento (UE) 2018/1999 del Parlamento Europeo e del Consiglio dell</w:t>
      </w:r>
      <w:r w:rsidR="000B4043">
        <w:rPr>
          <w:szCs w:val="24"/>
        </w:rPr>
        <w:t>’</w:t>
      </w:r>
      <w:r w:rsidR="00234D42" w:rsidRPr="001E7ABF">
        <w:rPr>
          <w:szCs w:val="24"/>
        </w:rPr>
        <w:t>11 dicembre 2018, trasmesso alla Commissione europea il 31 dicembre 2019</w:t>
      </w:r>
      <w:r w:rsidR="00234D42" w:rsidRPr="001E7ABF">
        <w:rPr>
          <w:rFonts w:eastAsia="Calibri"/>
          <w:bCs/>
          <w:color w:val="000000"/>
          <w:szCs w:val="24"/>
        </w:rPr>
        <w:t xml:space="preserve">, con il quale </w:t>
      </w:r>
      <w:r w:rsidRPr="001E7ABF">
        <w:rPr>
          <w:rFonts w:eastAsia="Calibri"/>
          <w:bCs/>
          <w:color w:val="000000"/>
          <w:szCs w:val="24"/>
        </w:rPr>
        <w:t>sono individuati gli obiettivi al 2030 e le relative misure in materia di decarbonizzazione (comprese le fonti rinnovabili), efficienza energetica, sicurezza energetica, mercato interno dell’energia, ricerca</w:t>
      </w:r>
      <w:r w:rsidR="00FB45EF" w:rsidRPr="001E7ABF">
        <w:rPr>
          <w:rFonts w:eastAsia="Calibri"/>
          <w:bCs/>
          <w:color w:val="000000"/>
          <w:szCs w:val="24"/>
        </w:rPr>
        <w:t xml:space="preserve">, innovazione e competitività; </w:t>
      </w:r>
    </w:p>
    <w:p w:rsidR="008B49CB" w:rsidRDefault="00B01E04" w:rsidP="00B01E04">
      <w:pPr>
        <w:spacing w:before="240"/>
      </w:pPr>
      <w:r w:rsidRPr="006A3132">
        <w:rPr>
          <w:b/>
        </w:rPr>
        <w:t>VISTO</w:t>
      </w:r>
      <w:r w:rsidRPr="006A3132">
        <w:t xml:space="preserve"> il Piano Nazionale di Ripresa e Resilienza</w:t>
      </w:r>
      <w:r w:rsidR="001A7D31" w:rsidRPr="006A3132">
        <w:t xml:space="preserve"> dell’Italia</w:t>
      </w:r>
      <w:r w:rsidR="00F25991" w:rsidRPr="006A3132">
        <w:t xml:space="preserve"> (</w:t>
      </w:r>
      <w:r w:rsidR="005946E6" w:rsidRPr="006A3132">
        <w:t xml:space="preserve">nel seguito: </w:t>
      </w:r>
      <w:r w:rsidR="00F25991" w:rsidRPr="006A3132">
        <w:t>PNRR)</w:t>
      </w:r>
      <w:r w:rsidRPr="006A3132">
        <w:t xml:space="preserve"> approvato con Decisione </w:t>
      </w:r>
      <w:r w:rsidR="00F72528" w:rsidRPr="007A3CB0">
        <w:t xml:space="preserve">di esecuzione </w:t>
      </w:r>
      <w:r w:rsidRPr="006A3132">
        <w:t>del Consiglio</w:t>
      </w:r>
      <w:r w:rsidR="005946E6" w:rsidRPr="006A3132">
        <w:t xml:space="preserve"> </w:t>
      </w:r>
      <w:r w:rsidR="00F72528" w:rsidRPr="007A3CB0">
        <w:t xml:space="preserve">dell’Unione europea </w:t>
      </w:r>
      <w:r w:rsidR="00F72528" w:rsidRPr="007A3CB0">
        <w:rPr>
          <w:szCs w:val="24"/>
        </w:rPr>
        <w:t>d</w:t>
      </w:r>
      <w:r w:rsidR="005946E6" w:rsidRPr="006A3132">
        <w:rPr>
          <w:szCs w:val="24"/>
        </w:rPr>
        <w:t>el 13 luglio 2021</w:t>
      </w:r>
      <w:r w:rsidR="006C254F" w:rsidRPr="007A3CB0">
        <w:t xml:space="preserve">; </w:t>
      </w:r>
    </w:p>
    <w:p w:rsidR="00B01E04" w:rsidRPr="006A3132" w:rsidRDefault="005946E6" w:rsidP="00B01E04">
      <w:pPr>
        <w:spacing w:before="240"/>
      </w:pPr>
      <w:r w:rsidRPr="006A3132">
        <w:rPr>
          <w:b/>
        </w:rPr>
        <w:t>VISTO</w:t>
      </w:r>
      <w:r w:rsidRPr="006A3132">
        <w:t xml:space="preserve"> l’Allegato </w:t>
      </w:r>
      <w:r w:rsidR="00280A23" w:rsidRPr="006A3132">
        <w:t>alla proposta di esecuzione del Consiglio relativa all’app</w:t>
      </w:r>
      <w:r w:rsidR="00F76E11" w:rsidRPr="006A3132">
        <w:t xml:space="preserve">rovazione </w:t>
      </w:r>
      <w:r w:rsidR="007F3E31" w:rsidRPr="007A3CB0">
        <w:t>d</w:t>
      </w:r>
      <w:r w:rsidR="00F76E11" w:rsidRPr="006A3132">
        <w:t xml:space="preserve">ella valutazione del </w:t>
      </w:r>
      <w:r w:rsidR="00280A23" w:rsidRPr="006A3132">
        <w:t xml:space="preserve">PNRR, </w:t>
      </w:r>
      <w:r w:rsidR="00F25991" w:rsidRPr="006A3132">
        <w:t>COM (2021) 344 final</w:t>
      </w:r>
      <w:r w:rsidR="00280A23" w:rsidRPr="006A3132">
        <w:t>,</w:t>
      </w:r>
      <w:r w:rsidR="001F439A" w:rsidRPr="006A3132">
        <w:t xml:space="preserve"> e</w:t>
      </w:r>
      <w:r w:rsidR="000A435A" w:rsidRPr="007A3CB0">
        <w:t xml:space="preserve">, </w:t>
      </w:r>
      <w:r w:rsidR="001A7D31" w:rsidRPr="006A3132">
        <w:t>i</w:t>
      </w:r>
      <w:r w:rsidR="001F439A" w:rsidRPr="006A3132">
        <w:t>n particolare</w:t>
      </w:r>
      <w:r w:rsidR="000A435A" w:rsidRPr="007A3CB0">
        <w:t xml:space="preserve">, la </w:t>
      </w:r>
      <w:r w:rsidR="001F439A" w:rsidRPr="006A3132">
        <w:t xml:space="preserve">Riforma </w:t>
      </w:r>
      <w:r w:rsidR="00280A23" w:rsidRPr="006A3132">
        <w:t>1</w:t>
      </w:r>
      <w:r w:rsidR="001F439A" w:rsidRPr="006A3132">
        <w:t xml:space="preserve"> – “Semplificazione delle procedure di autorizzazione per gli impianti rinnovabili </w:t>
      </w:r>
      <w:r w:rsidR="001F439A" w:rsidRPr="006A3132">
        <w:rPr>
          <w:i/>
        </w:rPr>
        <w:t>on</w:t>
      </w:r>
      <w:r w:rsidR="00280A23" w:rsidRPr="0001126B">
        <w:rPr>
          <w:i/>
        </w:rPr>
        <w:t>-</w:t>
      </w:r>
      <w:r w:rsidR="001F439A" w:rsidRPr="00EF5DCD">
        <w:rPr>
          <w:i/>
        </w:rPr>
        <w:t>shore</w:t>
      </w:r>
      <w:r w:rsidR="001F439A" w:rsidRPr="00EF5DCD">
        <w:t xml:space="preserve"> e </w:t>
      </w:r>
      <w:r w:rsidR="001F439A" w:rsidRPr="00EF5DCD">
        <w:rPr>
          <w:i/>
        </w:rPr>
        <w:t>o</w:t>
      </w:r>
      <w:r w:rsidR="00280A23" w:rsidRPr="00EF5DCD">
        <w:rPr>
          <w:i/>
        </w:rPr>
        <w:t>f</w:t>
      </w:r>
      <w:r w:rsidR="001F439A" w:rsidRPr="006B1B1C">
        <w:rPr>
          <w:i/>
        </w:rPr>
        <w:t>f</w:t>
      </w:r>
      <w:r w:rsidR="00280A23" w:rsidRPr="006B1B1C">
        <w:rPr>
          <w:i/>
        </w:rPr>
        <w:t>-</w:t>
      </w:r>
      <w:r w:rsidR="001F439A" w:rsidRPr="00BC3977">
        <w:rPr>
          <w:i/>
        </w:rPr>
        <w:t>fshore</w:t>
      </w:r>
      <w:r w:rsidR="001F439A" w:rsidRPr="00BC3977">
        <w:t>, nuovo quadro giuridico per sostenere la produzione da fonti rinnovabili e proroga dei tempi e dell'ammissibilità degli attuali regimi di sostegno”</w:t>
      </w:r>
      <w:r w:rsidR="000A435A" w:rsidRPr="007A3CB0">
        <w:t>, nell’ambito della M</w:t>
      </w:r>
      <w:r w:rsidR="001F439A" w:rsidRPr="006A3132">
        <w:t>issione 2</w:t>
      </w:r>
      <w:r w:rsidRPr="006A3132">
        <w:t xml:space="preserve"> </w:t>
      </w:r>
      <w:r w:rsidR="00280A23" w:rsidRPr="006A3132">
        <w:t>(</w:t>
      </w:r>
      <w:r w:rsidRPr="006A3132">
        <w:t>Rivoluzione verde e transizione ecologica</w:t>
      </w:r>
      <w:r w:rsidR="00280A23" w:rsidRPr="006A3132">
        <w:t>),</w:t>
      </w:r>
      <w:r w:rsidR="001F439A" w:rsidRPr="006A3132">
        <w:t xml:space="preserve"> Componente 2</w:t>
      </w:r>
      <w:r w:rsidR="000A435A" w:rsidRPr="007A3CB0">
        <w:t>-6</w:t>
      </w:r>
      <w:r w:rsidRPr="006A3132">
        <w:t xml:space="preserve"> </w:t>
      </w:r>
      <w:r w:rsidR="00280A23" w:rsidRPr="006A3132">
        <w:t>(</w:t>
      </w:r>
      <w:r w:rsidRPr="006A3132">
        <w:t>Energia rinnovabile, idrogeno, rete e mobilità sostenibile</w:t>
      </w:r>
      <w:r w:rsidR="00280A23" w:rsidRPr="006A3132">
        <w:t>) che prevede</w:t>
      </w:r>
      <w:r w:rsidR="000A435A" w:rsidRPr="007A3CB0">
        <w:t xml:space="preserve">, tra l’altro, </w:t>
      </w:r>
      <w:r w:rsidR="00280A23" w:rsidRPr="006A3132">
        <w:t>il completamento del meccanismo di sostegno alle fonti di energia rinnovabile, anche per altre tecnologie non mature o dai costi operativi elevati</w:t>
      </w:r>
      <w:r w:rsidR="00B01E04" w:rsidRPr="006A3132">
        <w:t>;</w:t>
      </w:r>
    </w:p>
    <w:p w:rsidR="00653D07" w:rsidRPr="006A3132" w:rsidRDefault="00653D07" w:rsidP="00617F99">
      <w:pPr>
        <w:spacing w:before="100" w:beforeAutospacing="1" w:after="100" w:afterAutospacing="1"/>
        <w:rPr>
          <w:bCs/>
          <w:szCs w:val="24"/>
        </w:rPr>
      </w:pPr>
      <w:r w:rsidRPr="006A3132">
        <w:rPr>
          <w:b/>
          <w:bCs/>
          <w:szCs w:val="24"/>
        </w:rPr>
        <w:t>VISTA</w:t>
      </w:r>
      <w:r w:rsidRPr="006A3132">
        <w:rPr>
          <w:szCs w:val="24"/>
        </w:rPr>
        <w:t xml:space="preserve"> la Comunicazione C</w:t>
      </w:r>
      <w:r w:rsidR="000A435A" w:rsidRPr="007A3CB0">
        <w:rPr>
          <w:szCs w:val="24"/>
        </w:rPr>
        <w:t>OM</w:t>
      </w:r>
      <w:r w:rsidR="00F76E11" w:rsidRPr="006A3132">
        <w:rPr>
          <w:szCs w:val="24"/>
        </w:rPr>
        <w:t xml:space="preserve"> </w:t>
      </w:r>
      <w:r w:rsidRPr="006A3132">
        <w:rPr>
          <w:szCs w:val="24"/>
        </w:rPr>
        <w:t xml:space="preserve">(2021) 9817 </w:t>
      </w:r>
      <w:r w:rsidR="000A435A" w:rsidRPr="007A3CB0">
        <w:rPr>
          <w:szCs w:val="24"/>
        </w:rPr>
        <w:t>def.</w:t>
      </w:r>
      <w:r w:rsidRPr="006A3132">
        <w:rPr>
          <w:szCs w:val="24"/>
        </w:rPr>
        <w:t xml:space="preserve"> della Commissione europea recante “</w:t>
      </w:r>
      <w:r w:rsidR="000A435A" w:rsidRPr="007A3CB0">
        <w:rPr>
          <w:szCs w:val="24"/>
        </w:rPr>
        <w:t>A</w:t>
      </w:r>
      <w:r w:rsidRPr="006A3132">
        <w:rPr>
          <w:szCs w:val="24"/>
        </w:rPr>
        <w:t xml:space="preserve">pprovazione della bozza di Comunicazione della Commissione sulla </w:t>
      </w:r>
      <w:r w:rsidR="000A435A" w:rsidRPr="007A3CB0">
        <w:rPr>
          <w:szCs w:val="24"/>
        </w:rPr>
        <w:t>d</w:t>
      </w:r>
      <w:r w:rsidRPr="006A3132">
        <w:rPr>
          <w:szCs w:val="24"/>
        </w:rPr>
        <w:t>isciplina degli aiuti di Stato per il clima, la tutela dell</w:t>
      </w:r>
      <w:r w:rsidR="006C254F" w:rsidRPr="006A3132">
        <w:rPr>
          <w:szCs w:val="24"/>
        </w:rPr>
        <w:t>’</w:t>
      </w:r>
      <w:r w:rsidRPr="0001126B">
        <w:rPr>
          <w:szCs w:val="24"/>
        </w:rPr>
        <w:t>ambiente e l</w:t>
      </w:r>
      <w:r w:rsidR="006C254F" w:rsidRPr="00EF5DCD">
        <w:rPr>
          <w:szCs w:val="24"/>
        </w:rPr>
        <w:t>’</w:t>
      </w:r>
      <w:r w:rsidRPr="00EF5DCD">
        <w:rPr>
          <w:szCs w:val="24"/>
        </w:rPr>
        <w:t>energia 2022” (</w:t>
      </w:r>
      <w:r w:rsidR="00A90D07" w:rsidRPr="00EF5DCD">
        <w:rPr>
          <w:szCs w:val="24"/>
        </w:rPr>
        <w:t xml:space="preserve">nel seguito: </w:t>
      </w:r>
      <w:r w:rsidRPr="006B1B1C">
        <w:rPr>
          <w:szCs w:val="24"/>
        </w:rPr>
        <w:t>la Comunicazione CE)</w:t>
      </w:r>
      <w:r w:rsidRPr="006B1B1C">
        <w:rPr>
          <w:bCs/>
          <w:szCs w:val="24"/>
        </w:rPr>
        <w:t>, relativa</w:t>
      </w:r>
      <w:r w:rsidRPr="006B1B1C">
        <w:rPr>
          <w:szCs w:val="24"/>
        </w:rPr>
        <w:t xml:space="preserve"> alle condizioni </w:t>
      </w:r>
      <w:r w:rsidR="005E49FA" w:rsidRPr="007A3CB0">
        <w:rPr>
          <w:szCs w:val="24"/>
        </w:rPr>
        <w:t xml:space="preserve">in base alle </w:t>
      </w:r>
      <w:r w:rsidRPr="006A3132">
        <w:rPr>
          <w:szCs w:val="24"/>
        </w:rPr>
        <w:t>quali gli aiuti possono essere considerati compatibili con il mercato interno a norma dell’articolo 107, paragrafo 3, lettera c), del Trattato sul funzionamento dell’Unione europea</w:t>
      </w:r>
      <w:r w:rsidR="006C254F" w:rsidRPr="006A3132">
        <w:rPr>
          <w:bCs/>
          <w:szCs w:val="24"/>
        </w:rPr>
        <w:t>;</w:t>
      </w:r>
    </w:p>
    <w:p w:rsidR="00134862" w:rsidRPr="00134862" w:rsidRDefault="00134862" w:rsidP="00134862">
      <w:pPr>
        <w:spacing w:before="240" w:after="120"/>
        <w:rPr>
          <w:szCs w:val="24"/>
        </w:rPr>
      </w:pPr>
      <w:r w:rsidRPr="007A3CB0">
        <w:rPr>
          <w:b/>
          <w:bCs/>
          <w:szCs w:val="24"/>
        </w:rPr>
        <w:t>VISTO</w:t>
      </w:r>
      <w:r>
        <w:rPr>
          <w:szCs w:val="24"/>
        </w:rPr>
        <w:t xml:space="preserve"> il decreto del Presidente della Repubblica 28 dicembre 2000, n. 445, recante “</w:t>
      </w:r>
      <w:r w:rsidRPr="007A3CB0">
        <w:rPr>
          <w:szCs w:val="24"/>
        </w:rPr>
        <w:t>Testo unico delle disposizioni legislative e regolamentari in materia di documentazione amministrativ</w:t>
      </w:r>
      <w:r>
        <w:rPr>
          <w:szCs w:val="24"/>
        </w:rPr>
        <w:t>a”;</w:t>
      </w:r>
    </w:p>
    <w:p w:rsidR="004C464C" w:rsidRDefault="004C464C" w:rsidP="004C464C">
      <w:pPr>
        <w:spacing w:before="240" w:after="120"/>
        <w:rPr>
          <w:bCs/>
          <w:szCs w:val="24"/>
        </w:rPr>
      </w:pPr>
      <w:r w:rsidRPr="0090741F">
        <w:rPr>
          <w:b/>
          <w:szCs w:val="24"/>
        </w:rPr>
        <w:t>VISTO</w:t>
      </w:r>
      <w:r w:rsidRPr="001E7ABF">
        <w:rPr>
          <w:bCs/>
          <w:szCs w:val="24"/>
        </w:rPr>
        <w:t xml:space="preserve"> il decreto del Ministro dello sviluppo economico 24 dicembre 2014, recante “Approvazione delle tariffe per la copertura dei costi sostenuti dal Gestore servizi energetici GSE S.p.A. per le attività di gestione, verifica e controllo, inerenti i meccanismi di incentivazione e di sostegno delle fonti rinnovabili e dell</w:t>
      </w:r>
      <w:r w:rsidR="00D170B2">
        <w:rPr>
          <w:bCs/>
          <w:szCs w:val="24"/>
        </w:rPr>
        <w:t>’</w:t>
      </w:r>
      <w:r w:rsidRPr="001E7ABF">
        <w:rPr>
          <w:bCs/>
          <w:szCs w:val="24"/>
        </w:rPr>
        <w:t>efficienza energetica, ai sensi dell</w:t>
      </w:r>
      <w:r w:rsidR="00D170B2">
        <w:rPr>
          <w:bCs/>
          <w:szCs w:val="24"/>
        </w:rPr>
        <w:t>’</w:t>
      </w:r>
      <w:r w:rsidRPr="001E7ABF">
        <w:rPr>
          <w:bCs/>
          <w:szCs w:val="24"/>
        </w:rPr>
        <w:t>articolo 25 del decreto</w:t>
      </w:r>
      <w:r>
        <w:rPr>
          <w:bCs/>
          <w:szCs w:val="24"/>
        </w:rPr>
        <w:t>-</w:t>
      </w:r>
      <w:r w:rsidRPr="001E7ABF">
        <w:rPr>
          <w:bCs/>
          <w:szCs w:val="24"/>
        </w:rPr>
        <w:t>legge 24 giugno 2014, n. 91, convertito, con modificazioni, dalla legge 11 agosto 2014, n. 116”</w:t>
      </w:r>
      <w:r w:rsidR="00D170B2">
        <w:rPr>
          <w:bCs/>
          <w:szCs w:val="24"/>
        </w:rPr>
        <w:t>,</w:t>
      </w:r>
      <w:r w:rsidRPr="001E7ABF">
        <w:rPr>
          <w:bCs/>
          <w:szCs w:val="24"/>
        </w:rPr>
        <w:t xml:space="preserve"> pubblicato </w:t>
      </w:r>
      <w:r w:rsidR="00D170B2">
        <w:rPr>
          <w:bCs/>
          <w:szCs w:val="24"/>
        </w:rPr>
        <w:t>nella</w:t>
      </w:r>
      <w:r w:rsidRPr="001E7ABF">
        <w:rPr>
          <w:bCs/>
          <w:szCs w:val="24"/>
        </w:rPr>
        <w:t xml:space="preserve"> Gazzetta Ufficiale</w:t>
      </w:r>
      <w:r w:rsidR="00D170B2">
        <w:rPr>
          <w:bCs/>
          <w:szCs w:val="24"/>
        </w:rPr>
        <w:t xml:space="preserve"> n. 302</w:t>
      </w:r>
      <w:r w:rsidRPr="001E7ABF">
        <w:rPr>
          <w:bCs/>
          <w:szCs w:val="24"/>
        </w:rPr>
        <w:t xml:space="preserve"> del 31</w:t>
      </w:r>
      <w:r>
        <w:rPr>
          <w:bCs/>
          <w:szCs w:val="24"/>
        </w:rPr>
        <w:t xml:space="preserve"> dicembre </w:t>
      </w:r>
      <w:r w:rsidRPr="001E7ABF">
        <w:rPr>
          <w:bCs/>
          <w:szCs w:val="24"/>
        </w:rPr>
        <w:t>2014</w:t>
      </w:r>
      <w:r w:rsidR="005E49FA">
        <w:rPr>
          <w:bCs/>
          <w:szCs w:val="24"/>
        </w:rPr>
        <w:t xml:space="preserve"> (nel seguito: DM 24 dicembre 2014)</w:t>
      </w:r>
      <w:r w:rsidRPr="001E7ABF">
        <w:rPr>
          <w:bCs/>
          <w:szCs w:val="24"/>
        </w:rPr>
        <w:t>;</w:t>
      </w:r>
    </w:p>
    <w:p w:rsidR="00FF3675" w:rsidRPr="001E7ABF" w:rsidRDefault="00FF3675" w:rsidP="00FF3675">
      <w:pPr>
        <w:spacing w:before="240" w:after="120"/>
        <w:rPr>
          <w:szCs w:val="24"/>
        </w:rPr>
      </w:pPr>
      <w:r w:rsidRPr="0090741F">
        <w:rPr>
          <w:b/>
          <w:bCs/>
          <w:szCs w:val="24"/>
        </w:rPr>
        <w:t>VISTO</w:t>
      </w:r>
      <w:r w:rsidRPr="001E7ABF">
        <w:rPr>
          <w:szCs w:val="24"/>
        </w:rPr>
        <w:t xml:space="preserve"> il decreto del Ministro dello sviluppo economico, di concerto con il Ministro dell’ambiente e della tutela del territorio e del mare e</w:t>
      </w:r>
      <w:r w:rsidR="00F8305C">
        <w:rPr>
          <w:szCs w:val="24"/>
        </w:rPr>
        <w:t xml:space="preserve"> </w:t>
      </w:r>
      <w:r w:rsidRPr="001E7ABF">
        <w:rPr>
          <w:szCs w:val="24"/>
        </w:rPr>
        <w:t>con il Ministro delle politiche agricole alimentari e forestali</w:t>
      </w:r>
      <w:r w:rsidR="00F8305C">
        <w:rPr>
          <w:szCs w:val="24"/>
        </w:rPr>
        <w:t>, del 23 giugno 2016</w:t>
      </w:r>
      <w:r w:rsidRPr="001E7ABF">
        <w:rPr>
          <w:szCs w:val="24"/>
        </w:rPr>
        <w:t xml:space="preserve">, recante </w:t>
      </w:r>
      <w:r w:rsidR="006C254F">
        <w:rPr>
          <w:szCs w:val="24"/>
        </w:rPr>
        <w:t>“</w:t>
      </w:r>
      <w:r w:rsidRPr="001E7ABF">
        <w:rPr>
          <w:szCs w:val="24"/>
        </w:rPr>
        <w:t>Incentivazione dell’energia elettrica prodotta da fonti rinnovabili diverse dal fotovoltaico</w:t>
      </w:r>
      <w:r w:rsidR="006C254F">
        <w:rPr>
          <w:szCs w:val="24"/>
        </w:rPr>
        <w:t>”</w:t>
      </w:r>
      <w:r w:rsidRPr="001E7ABF">
        <w:rPr>
          <w:szCs w:val="24"/>
        </w:rPr>
        <w:t>, pubblicato nella Gazzetta Ufficiale</w:t>
      </w:r>
      <w:r w:rsidR="00F8305C">
        <w:rPr>
          <w:szCs w:val="24"/>
        </w:rPr>
        <w:t xml:space="preserve"> n. 150 del</w:t>
      </w:r>
      <w:r w:rsidRPr="001E7ABF">
        <w:rPr>
          <w:szCs w:val="24"/>
        </w:rPr>
        <w:t xml:space="preserve"> 29 giugno 2016</w:t>
      </w:r>
      <w:r w:rsidR="005E49FA">
        <w:rPr>
          <w:szCs w:val="24"/>
        </w:rPr>
        <w:t xml:space="preserve"> </w:t>
      </w:r>
      <w:r w:rsidR="005E49FA" w:rsidRPr="001E7ABF">
        <w:rPr>
          <w:szCs w:val="24"/>
        </w:rPr>
        <w:t>(</w:t>
      </w:r>
      <w:r w:rsidR="005E49FA">
        <w:rPr>
          <w:szCs w:val="24"/>
        </w:rPr>
        <w:t>nel seguito: DM</w:t>
      </w:r>
      <w:r w:rsidR="005E49FA" w:rsidRPr="001E7ABF">
        <w:rPr>
          <w:szCs w:val="24"/>
        </w:rPr>
        <w:t xml:space="preserve"> 23 giugno 2016)</w:t>
      </w:r>
      <w:r w:rsidRPr="001E7ABF">
        <w:rPr>
          <w:szCs w:val="24"/>
        </w:rPr>
        <w:t>;</w:t>
      </w:r>
    </w:p>
    <w:p w:rsidR="00FF3675" w:rsidRPr="001E7ABF" w:rsidRDefault="00FF3675" w:rsidP="00FF3675">
      <w:pPr>
        <w:spacing w:before="240"/>
        <w:rPr>
          <w:szCs w:val="24"/>
        </w:rPr>
      </w:pPr>
      <w:r w:rsidRPr="0090741F">
        <w:rPr>
          <w:b/>
          <w:bCs/>
          <w:szCs w:val="24"/>
        </w:rPr>
        <w:lastRenderedPageBreak/>
        <w:t>VISTO</w:t>
      </w:r>
      <w:r w:rsidRPr="001E7ABF">
        <w:rPr>
          <w:szCs w:val="24"/>
        </w:rPr>
        <w:t xml:space="preserve"> il decreto del Ministro dello sviluppo economico, di concerto con il Ministro dell’ambiente e della tutela del territorio e del mare</w:t>
      </w:r>
      <w:r w:rsidR="00F8305C">
        <w:rPr>
          <w:szCs w:val="24"/>
        </w:rPr>
        <w:t>, del</w:t>
      </w:r>
      <w:r w:rsidRPr="001E7ABF">
        <w:rPr>
          <w:szCs w:val="24"/>
        </w:rPr>
        <w:t xml:space="preserve"> 4 luglio 2019,</w:t>
      </w:r>
      <w:r w:rsidR="008252DB">
        <w:rPr>
          <w:szCs w:val="24"/>
        </w:rPr>
        <w:t xml:space="preserve"> </w:t>
      </w:r>
      <w:r w:rsidRPr="001E7ABF">
        <w:rPr>
          <w:szCs w:val="24"/>
        </w:rPr>
        <w:t xml:space="preserve">recante </w:t>
      </w:r>
      <w:r w:rsidR="00F8305C">
        <w:rPr>
          <w:szCs w:val="24"/>
        </w:rPr>
        <w:t>“</w:t>
      </w:r>
      <w:r w:rsidRPr="001E7ABF">
        <w:rPr>
          <w:szCs w:val="24"/>
        </w:rPr>
        <w:t xml:space="preserve">Incentivazione dell’energia elettrica prodotta dagli impianti eolici </w:t>
      </w:r>
      <w:r w:rsidRPr="002F3FE1">
        <w:rPr>
          <w:i/>
          <w:szCs w:val="24"/>
        </w:rPr>
        <w:t>on-shore</w:t>
      </w:r>
      <w:r w:rsidRPr="001E7ABF">
        <w:rPr>
          <w:szCs w:val="24"/>
        </w:rPr>
        <w:t>, solari fotovoltaici, idroelettrici e a gas residuati dei processi di depurazione</w:t>
      </w:r>
      <w:r w:rsidR="00F8305C">
        <w:rPr>
          <w:szCs w:val="24"/>
        </w:rPr>
        <w:t>”</w:t>
      </w:r>
      <w:r w:rsidR="005E49FA">
        <w:rPr>
          <w:szCs w:val="24"/>
        </w:rPr>
        <w:t>,</w:t>
      </w:r>
      <w:r w:rsidR="00F8305C">
        <w:rPr>
          <w:szCs w:val="24"/>
        </w:rPr>
        <w:t xml:space="preserve"> </w:t>
      </w:r>
      <w:r w:rsidRPr="001E7ABF">
        <w:rPr>
          <w:szCs w:val="24"/>
        </w:rPr>
        <w:t>pubblicato nella Gazzetta Ufficiale</w:t>
      </w:r>
      <w:r w:rsidR="00F8305C">
        <w:rPr>
          <w:szCs w:val="24"/>
        </w:rPr>
        <w:t xml:space="preserve"> n. 186 del</w:t>
      </w:r>
      <w:r w:rsidRPr="001E7ABF">
        <w:rPr>
          <w:szCs w:val="24"/>
        </w:rPr>
        <w:t xml:space="preserve"> 9 agosto 2019</w:t>
      </w:r>
      <w:r w:rsidR="005E49FA">
        <w:rPr>
          <w:szCs w:val="24"/>
        </w:rPr>
        <w:t>, (nel seguito: DM 4 luglio 2019)</w:t>
      </w:r>
      <w:r w:rsidR="00F8305C">
        <w:rPr>
          <w:szCs w:val="24"/>
        </w:rPr>
        <w:t>;</w:t>
      </w:r>
    </w:p>
    <w:p w:rsidR="009208FF" w:rsidRPr="008C7B95" w:rsidRDefault="00F8305C" w:rsidP="60CA9ACE">
      <w:pPr>
        <w:spacing w:before="240" w:after="120"/>
        <w:rPr>
          <w:rFonts w:ascii="inherit" w:hAnsi="inherit"/>
          <w:color w:val="000000" w:themeColor="text1"/>
        </w:rPr>
      </w:pPr>
      <w:r>
        <w:rPr>
          <w:rFonts w:ascii="inherit" w:hAnsi="inherit"/>
          <w:b/>
          <w:bCs/>
          <w:color w:val="000000" w:themeColor="text1"/>
        </w:rPr>
        <w:t xml:space="preserve">CONSIDERATO </w:t>
      </w:r>
      <w:r w:rsidR="00452839" w:rsidRPr="60CA9ACE">
        <w:rPr>
          <w:rFonts w:ascii="inherit" w:hAnsi="inherit"/>
          <w:color w:val="000000" w:themeColor="text1"/>
        </w:rPr>
        <w:t>che, con riguardo agli incentivi per la produzione di energia elettrica da fonti rinnovabili,</w:t>
      </w:r>
      <w:r w:rsidR="00C64CEB" w:rsidRPr="60CA9ACE">
        <w:rPr>
          <w:rFonts w:ascii="inherit" w:hAnsi="inherit"/>
          <w:color w:val="000000" w:themeColor="text1"/>
        </w:rPr>
        <w:t xml:space="preserve"> </w:t>
      </w:r>
      <w:r w:rsidR="00BB1B8C">
        <w:rPr>
          <w:rFonts w:ascii="inherit" w:hAnsi="inherit"/>
          <w:color w:val="000000" w:themeColor="text1"/>
        </w:rPr>
        <w:t>il</w:t>
      </w:r>
      <w:r>
        <w:rPr>
          <w:rFonts w:ascii="inherit" w:hAnsi="inherit"/>
          <w:color w:val="000000" w:themeColor="text1"/>
        </w:rPr>
        <w:t xml:space="preserve"> decreto legislativo n. 199 del 2021</w:t>
      </w:r>
      <w:r w:rsidR="00BB1B8C">
        <w:rPr>
          <w:rFonts w:ascii="inherit" w:hAnsi="inherit"/>
          <w:color w:val="000000" w:themeColor="text1"/>
        </w:rPr>
        <w:t xml:space="preserve"> </w:t>
      </w:r>
      <w:r w:rsidR="00C64CEB" w:rsidRPr="60CA9ACE">
        <w:rPr>
          <w:rFonts w:ascii="inherit" w:hAnsi="inherit"/>
          <w:color w:val="000000" w:themeColor="text1"/>
        </w:rPr>
        <w:t>prevede</w:t>
      </w:r>
      <w:r>
        <w:rPr>
          <w:rFonts w:ascii="inherit" w:hAnsi="inherit"/>
          <w:color w:val="000000" w:themeColor="text1"/>
        </w:rPr>
        <w:t>,</w:t>
      </w:r>
      <w:r w:rsidR="00442746" w:rsidRPr="60CA9ACE">
        <w:rPr>
          <w:rFonts w:ascii="inherit" w:hAnsi="inherit"/>
          <w:color w:val="000000" w:themeColor="text1"/>
        </w:rPr>
        <w:t xml:space="preserve"> </w:t>
      </w:r>
      <w:r w:rsidR="00BB1B8C">
        <w:rPr>
          <w:rFonts w:ascii="inherit" w:hAnsi="inherit"/>
          <w:color w:val="000000" w:themeColor="text1"/>
        </w:rPr>
        <w:t>al</w:t>
      </w:r>
      <w:r w:rsidR="009208FF" w:rsidRPr="60CA9ACE">
        <w:rPr>
          <w:rFonts w:ascii="inherit" w:hAnsi="inherit"/>
          <w:color w:val="000000" w:themeColor="text1"/>
        </w:rPr>
        <w:t xml:space="preserve">l’articolo 4, comma 2, </w:t>
      </w:r>
      <w:r w:rsidR="00F268E5" w:rsidRPr="60CA9ACE">
        <w:rPr>
          <w:rFonts w:ascii="inherit" w:hAnsi="inherit"/>
          <w:color w:val="000000" w:themeColor="text1"/>
        </w:rPr>
        <w:t xml:space="preserve">e </w:t>
      </w:r>
      <w:r w:rsidR="00BB1B8C">
        <w:rPr>
          <w:rFonts w:ascii="inherit" w:hAnsi="inherit"/>
          <w:color w:val="000000" w:themeColor="text1"/>
        </w:rPr>
        <w:t>al</w:t>
      </w:r>
      <w:r w:rsidR="00F268E5" w:rsidRPr="60CA9ACE">
        <w:rPr>
          <w:rFonts w:ascii="inherit" w:hAnsi="inherit"/>
          <w:color w:val="000000" w:themeColor="text1"/>
        </w:rPr>
        <w:t xml:space="preserve">l’articolo 5, comma 1, </w:t>
      </w:r>
      <w:r w:rsidR="00C64CEB" w:rsidRPr="60CA9ACE">
        <w:rPr>
          <w:rFonts w:ascii="inherit" w:hAnsi="inherit"/>
          <w:color w:val="000000" w:themeColor="text1"/>
        </w:rPr>
        <w:t>che</w:t>
      </w:r>
      <w:r w:rsidR="009208FF" w:rsidRPr="60CA9ACE">
        <w:rPr>
          <w:rFonts w:ascii="inherit" w:hAnsi="inherit"/>
          <w:color w:val="000000" w:themeColor="text1"/>
        </w:rPr>
        <w:t xml:space="preserve"> i regimi di sostegno si conformino</w:t>
      </w:r>
      <w:r w:rsidR="00A9084A">
        <w:rPr>
          <w:rFonts w:ascii="inherit" w:hAnsi="inherit"/>
          <w:color w:val="000000" w:themeColor="text1"/>
        </w:rPr>
        <w:t>, tra l’altro,</w:t>
      </w:r>
      <w:r w:rsidR="009208FF" w:rsidRPr="60CA9ACE">
        <w:rPr>
          <w:rFonts w:ascii="inherit" w:hAnsi="inherit"/>
          <w:color w:val="000000" w:themeColor="text1"/>
        </w:rPr>
        <w:t xml:space="preserve"> ai seguenti </w:t>
      </w:r>
      <w:r w:rsidR="009208FF" w:rsidRPr="007A3CB0">
        <w:rPr>
          <w:rFonts w:ascii="inherit" w:hAnsi="inherit"/>
          <w:color w:val="000000" w:themeColor="text1"/>
        </w:rPr>
        <w:t>criteri generali</w:t>
      </w:r>
      <w:r w:rsidR="009208FF" w:rsidRPr="00F8305C">
        <w:rPr>
          <w:rFonts w:ascii="inherit" w:hAnsi="inherit"/>
          <w:color w:val="000000" w:themeColor="text1"/>
        </w:rPr>
        <w:t>:</w:t>
      </w:r>
    </w:p>
    <w:p w:rsidR="00F600ED" w:rsidRPr="00BE1CB7" w:rsidRDefault="00F600ED"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BE1CB7">
        <w:t>l’incentivo è proporzionato all’onerosità dell’intervento per garantirne l’equa remunerazione ed è applicabile alla realizzazione di nuovi impianti, riattivazioni di impianti dismessi, integrali ricostruzioni, potenziamenti e rifacimenti di impianti esistenti, anche tenendo conto dei diversi costi specifici e delle caratteristiche peculiari delle diverse applicazioni e tecnologie;</w:t>
      </w:r>
    </w:p>
    <w:p w:rsidR="00130FBA" w:rsidRPr="00BE1CB7" w:rsidRDefault="00130FBA"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BE1CB7">
        <w:t>i regimi di sostegno sono adottati conformemente alla disciplina dell’Unione in materia di aiuti di Stato</w:t>
      </w:r>
      <w:r>
        <w:t xml:space="preserve"> incluso il</w:t>
      </w:r>
      <w:r w:rsidRPr="00BE1CB7">
        <w:t xml:space="preserve"> rispetto, tra gli altri, del principio secondo il quale non possono accedere agli incentivi le iniziative per cui è comprovata la realizzabilità anche in assenza di sostegno pubblico;</w:t>
      </w:r>
    </w:p>
    <w:p w:rsidR="00130FBA" w:rsidRPr="00BE1CB7" w:rsidRDefault="00130FBA"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BE1CB7">
        <w:t>l</w:t>
      </w:r>
      <w:r w:rsidR="00F8305C">
        <w:t>’</w:t>
      </w:r>
      <w:r w:rsidRPr="00BE1CB7">
        <w:t>incentivo è assegnato tramite una tariffa erogata dal Gestore dei Servizi Energetici - GSE S.p.A. (</w:t>
      </w:r>
      <w:r w:rsidR="00F8305C">
        <w:t>nel</w:t>
      </w:r>
      <w:r w:rsidRPr="00BE1CB7">
        <w:t xml:space="preserve"> seguito: GSE) sull’energia elettrica prodotta dall’impianto, ovvero sulla quota parte di tale produzione che viene immessa in rete o autoconsumata;</w:t>
      </w:r>
    </w:p>
    <w:p w:rsidR="007F5019" w:rsidRPr="00BE1CB7" w:rsidRDefault="007F5019"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BE1CB7">
        <w:t>il periodo di diritto all'incentivo decorre dalla data di entrata in esercizio dell’impianto ed è pari alla vita media utile convenzionale della tipologia impiantistica in cui esso ricade;</w:t>
      </w:r>
    </w:p>
    <w:p w:rsidR="00130FBA" w:rsidRPr="00BE1CB7" w:rsidRDefault="00130FBA"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BE1CB7">
        <w:t>l</w:t>
      </w:r>
      <w:r w:rsidR="00F8305C">
        <w:t>’</w:t>
      </w:r>
      <w:r w:rsidRPr="00BE1CB7">
        <w:t>incentivo non si applica alle opere di manutenzione ordinaria e alle opere effettuate per adeguare l</w:t>
      </w:r>
      <w:r w:rsidR="00F8305C">
        <w:t>’</w:t>
      </w:r>
      <w:r w:rsidRPr="00BE1CB7">
        <w:t>impianto a prescrizioni di legge;</w:t>
      </w:r>
    </w:p>
    <w:p w:rsidR="007F5019" w:rsidRDefault="007F5019"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BE1CB7">
        <w:t>l’incentivo può essere diversificato sulla base delle dimensioni e della taglia dell’impianto per tener conto dell’effetto scala;</w:t>
      </w:r>
    </w:p>
    <w:p w:rsidR="007F5019" w:rsidRDefault="007F5019"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BE1CB7">
        <w:t>gli incentivi trovano copertura sulla componente degli oneri generali afferenti al sistema elettrico di cui all’articolo 3, comma 11</w:t>
      </w:r>
      <w:r w:rsidR="00F8305C">
        <w:t>,</w:t>
      </w:r>
      <w:r w:rsidRPr="00BE1CB7">
        <w:t xml:space="preserve"> del decreto legislativo 16 marzo 1999, n. 79 destinata al sostegno delle rinnovabili, secondo modalità definite dall'Autorità di regolazione per energia reti e ambiente (</w:t>
      </w:r>
      <w:r w:rsidR="00F8305C">
        <w:t>nel</w:t>
      </w:r>
      <w:r w:rsidRPr="00BE1CB7">
        <w:t xml:space="preserve"> seguito: ARERA)</w:t>
      </w:r>
      <w:r w:rsidR="009F3D71">
        <w:t>;</w:t>
      </w:r>
    </w:p>
    <w:p w:rsidR="009F3D71" w:rsidRPr="00BE1CB7" w:rsidRDefault="009F3D71"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BE1CB7">
        <w:t xml:space="preserve">nell’ambito dei meccanismi di </w:t>
      </w:r>
      <w:r>
        <w:t xml:space="preserve">incentivazione </w:t>
      </w:r>
      <w:r w:rsidRPr="00BE1CB7">
        <w:t>è stabilito un accesso prioritario per gli impianti realizzati nelle aree identificate come idonee, a parità di offerta economica;</w:t>
      </w:r>
    </w:p>
    <w:p w:rsidR="009F3D71" w:rsidRPr="00301602" w:rsidRDefault="009F3D71"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6A3132">
        <w:t xml:space="preserve">sono stabilite le condizioni di cumulabilità con le agevolazioni fiscali previste per la realizzazione degli impianti e dei sistemi di accumulo nonché con altri regimi di sostegno, ivi inclusi quelli del </w:t>
      </w:r>
      <w:r w:rsidRPr="00EF5DCD">
        <w:t>PNRR di cui al Capo IV,</w:t>
      </w:r>
      <w:r w:rsidRPr="006B1B1C">
        <w:t xml:space="preserve"> tenendo conto delle diverse caratteristiche soggettive e degli impianti, mantenendo il principio secondo cui è garantita</w:t>
      </w:r>
      <w:r w:rsidRPr="00301602">
        <w:t xml:space="preserve"> complessivamente un’equa remunerazione degli interventi;</w:t>
      </w:r>
    </w:p>
    <w:p w:rsidR="009F3D71" w:rsidRPr="006A3132" w:rsidRDefault="009F3D71"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6A3132">
        <w:t>non è consentito l’artato frazionamento delle iniziative al fine di incrementare i profitti economici oltre quanto stabilito dall’articolo 4, comma 2, lettera a)</w:t>
      </w:r>
      <w:r w:rsidR="005E49FA" w:rsidRPr="006A3132">
        <w:t>, del decreto legislativo n. 199 del 2021</w:t>
      </w:r>
      <w:r w:rsidRPr="006A3132">
        <w:t xml:space="preserve"> ovvero al fine di eludere i pertinenti meccanismi incentivanti;</w:t>
      </w:r>
    </w:p>
    <w:p w:rsidR="00E83404" w:rsidRPr="006A3132" w:rsidRDefault="00E83404" w:rsidP="00FF03FF">
      <w:pPr>
        <w:pStyle w:val="Paragrafoelenco"/>
        <w:numPr>
          <w:ilvl w:val="0"/>
          <w:numId w:val="31"/>
        </w:numPr>
        <w:suppressAutoHyphens w:val="0"/>
        <w:overflowPunct/>
        <w:autoSpaceDE/>
        <w:autoSpaceDN/>
        <w:adjustRightInd/>
        <w:spacing w:before="240" w:after="160" w:line="259" w:lineRule="auto"/>
        <w:contextualSpacing/>
        <w:textAlignment w:val="auto"/>
      </w:pPr>
      <w:r w:rsidRPr="006A3132">
        <w:t>i regimi di sostegno sono definiti secondo criteri di massima semplificazione delle procedure amministrative</w:t>
      </w:r>
      <w:r w:rsidR="00E13DDB" w:rsidRPr="006A3132">
        <w:t>;</w:t>
      </w:r>
    </w:p>
    <w:p w:rsidR="005A3E2E" w:rsidRDefault="00E13DDB" w:rsidP="005A0539">
      <w:pPr>
        <w:spacing w:before="240"/>
        <w:rPr>
          <w:rFonts w:eastAsia="Calibri"/>
          <w:bCs/>
          <w:color w:val="000000"/>
          <w:szCs w:val="24"/>
        </w:rPr>
      </w:pPr>
      <w:r w:rsidRPr="006A3132">
        <w:rPr>
          <w:rFonts w:eastAsia="Calibri"/>
          <w:b/>
          <w:color w:val="000000"/>
          <w:szCs w:val="24"/>
        </w:rPr>
        <w:t>CONSIDERATO</w:t>
      </w:r>
      <w:r w:rsidR="006F071A" w:rsidRPr="006A3132">
        <w:rPr>
          <w:rFonts w:eastAsia="Calibri"/>
          <w:bCs/>
          <w:color w:val="000000"/>
          <w:szCs w:val="24"/>
        </w:rPr>
        <w:t xml:space="preserve"> </w:t>
      </w:r>
      <w:r w:rsidR="00C82C2A" w:rsidRPr="006A3132">
        <w:rPr>
          <w:rFonts w:eastAsia="Calibri"/>
          <w:bCs/>
          <w:color w:val="000000"/>
          <w:szCs w:val="24"/>
        </w:rPr>
        <w:t xml:space="preserve">altresì </w:t>
      </w:r>
      <w:r w:rsidR="006F071A" w:rsidRPr="006A3132">
        <w:rPr>
          <w:rFonts w:eastAsia="Calibri"/>
          <w:bCs/>
          <w:color w:val="000000"/>
          <w:szCs w:val="24"/>
        </w:rPr>
        <w:t>che il</w:t>
      </w:r>
      <w:r w:rsidRPr="006A3132">
        <w:rPr>
          <w:rFonts w:eastAsia="Calibri"/>
          <w:bCs/>
          <w:color w:val="000000"/>
          <w:szCs w:val="24"/>
        </w:rPr>
        <w:t xml:space="preserve"> decreto legislativo n. 199 del 2021,</w:t>
      </w:r>
      <w:r w:rsidR="00BE550B" w:rsidRPr="006A3132">
        <w:rPr>
          <w:rFonts w:eastAsia="Calibri"/>
          <w:bCs/>
          <w:color w:val="000000"/>
          <w:szCs w:val="24"/>
        </w:rPr>
        <w:t xml:space="preserve"> all’articolo 5</w:t>
      </w:r>
      <w:r w:rsidRPr="006A3132">
        <w:rPr>
          <w:rFonts w:eastAsia="Calibri"/>
          <w:bCs/>
          <w:color w:val="000000"/>
          <w:szCs w:val="24"/>
        </w:rPr>
        <w:t>,</w:t>
      </w:r>
      <w:r w:rsidR="00BE550B" w:rsidRPr="006A3132">
        <w:rPr>
          <w:rFonts w:eastAsia="Calibri"/>
          <w:bCs/>
          <w:color w:val="000000"/>
          <w:szCs w:val="24"/>
        </w:rPr>
        <w:t xml:space="preserve"> </w:t>
      </w:r>
      <w:r w:rsidR="002F7294" w:rsidRPr="006A3132">
        <w:rPr>
          <w:rFonts w:eastAsia="Calibri"/>
          <w:bCs/>
          <w:color w:val="000000"/>
          <w:szCs w:val="24"/>
        </w:rPr>
        <w:t xml:space="preserve">definisce </w:t>
      </w:r>
      <w:r w:rsidR="00BE550B" w:rsidRPr="006A3132">
        <w:rPr>
          <w:rFonts w:eastAsia="Calibri"/>
          <w:bCs/>
          <w:color w:val="000000"/>
          <w:szCs w:val="24"/>
        </w:rPr>
        <w:t xml:space="preserve">le </w:t>
      </w:r>
      <w:r w:rsidR="00BE550B" w:rsidRPr="007A3CB0">
        <w:rPr>
          <w:rFonts w:eastAsia="Calibri"/>
          <w:bCs/>
          <w:color w:val="000000"/>
          <w:szCs w:val="24"/>
        </w:rPr>
        <w:t xml:space="preserve">caratteristiche </w:t>
      </w:r>
      <w:r w:rsidR="001E7D63" w:rsidRPr="007A3CB0">
        <w:rPr>
          <w:rFonts w:eastAsia="Calibri"/>
          <w:bCs/>
          <w:color w:val="000000"/>
          <w:szCs w:val="24"/>
        </w:rPr>
        <w:t xml:space="preserve">generali degli strumenti </w:t>
      </w:r>
      <w:r w:rsidR="007720F9" w:rsidRPr="007A3CB0">
        <w:rPr>
          <w:rFonts w:eastAsia="Calibri"/>
          <w:bCs/>
          <w:color w:val="000000"/>
          <w:szCs w:val="24"/>
        </w:rPr>
        <w:t>di incentivazione</w:t>
      </w:r>
      <w:r w:rsidR="002F7294" w:rsidRPr="006A3132">
        <w:rPr>
          <w:rFonts w:eastAsia="Calibri"/>
          <w:bCs/>
          <w:color w:val="000000"/>
          <w:szCs w:val="24"/>
        </w:rPr>
        <w:t xml:space="preserve"> </w:t>
      </w:r>
      <w:r w:rsidR="001E7D63" w:rsidRPr="006A3132">
        <w:rPr>
          <w:rFonts w:eastAsia="Calibri"/>
          <w:bCs/>
          <w:color w:val="000000"/>
          <w:szCs w:val="24"/>
        </w:rPr>
        <w:t xml:space="preserve">tariffaria </w:t>
      </w:r>
      <w:r w:rsidR="005A3E2E" w:rsidRPr="006A3132">
        <w:rPr>
          <w:rFonts w:eastAsia="Calibri"/>
          <w:bCs/>
          <w:color w:val="000000"/>
          <w:szCs w:val="24"/>
        </w:rPr>
        <w:t>per grandi e piccoli impianti a fonti rinnovabili per la produzione di energia elettrica, prevedendo, in particolare, che:</w:t>
      </w:r>
    </w:p>
    <w:p w:rsidR="002F7294" w:rsidRDefault="005A3E2E" w:rsidP="00FF03FF">
      <w:pPr>
        <w:pStyle w:val="Paragrafoelenco"/>
        <w:numPr>
          <w:ilvl w:val="0"/>
          <w:numId w:val="36"/>
        </w:numPr>
        <w:spacing w:before="240"/>
        <w:ind w:left="426"/>
      </w:pPr>
      <w:r w:rsidRPr="00F3067C">
        <w:rPr>
          <w:rFonts w:eastAsia="Calibri"/>
          <w:bCs/>
          <w:color w:val="000000"/>
          <w:szCs w:val="24"/>
        </w:rPr>
        <w:lastRenderedPageBreak/>
        <w:t>p</w:t>
      </w:r>
      <w:r w:rsidR="005A0539" w:rsidRPr="00BE1CB7">
        <w:t xml:space="preserve">er i grandi impianti, con potenza superiore a una soglia almeno pari a 1 MW, l’incentivo è attribuito attraverso procedure competitive di </w:t>
      </w:r>
      <w:r w:rsidR="005A0539" w:rsidRPr="00F3067C">
        <w:rPr>
          <w:bCs/>
        </w:rPr>
        <w:t>aste</w:t>
      </w:r>
      <w:r w:rsidR="005A0539" w:rsidRPr="00BE1CB7">
        <w:t xml:space="preserve"> al ribasso effettuate in riferimento a contingenti di potenza</w:t>
      </w:r>
      <w:r w:rsidR="00847B1D">
        <w:t>;</w:t>
      </w:r>
    </w:p>
    <w:p w:rsidR="005A0539" w:rsidRPr="00BE1CB7" w:rsidRDefault="00E13DDB" w:rsidP="00FF03FF">
      <w:pPr>
        <w:pStyle w:val="Paragrafoelenco"/>
        <w:numPr>
          <w:ilvl w:val="0"/>
          <w:numId w:val="36"/>
        </w:numPr>
        <w:ind w:left="426"/>
      </w:pPr>
      <w:r>
        <w:t>p</w:t>
      </w:r>
      <w:r w:rsidR="005A0539" w:rsidRPr="00BE1CB7">
        <w:t xml:space="preserve">er impianti di </w:t>
      </w:r>
      <w:r w:rsidR="005A0539" w:rsidRPr="00F3067C">
        <w:rPr>
          <w:bCs/>
        </w:rPr>
        <w:t>piccola taglia</w:t>
      </w:r>
      <w:r w:rsidR="005A0539" w:rsidRPr="00BE1CB7">
        <w:t xml:space="preserve">, aventi potenza inferiore alla soglia di </w:t>
      </w:r>
      <w:r w:rsidR="005A3E2E">
        <w:t>cui sopra</w:t>
      </w:r>
      <w:r w:rsidR="008D5931">
        <w:t>,</w:t>
      </w:r>
      <w:r w:rsidR="005A0539" w:rsidRPr="00BE1CB7">
        <w:t xml:space="preserve"> l’incentivo è attribuito attraverso una richiesta da effettuare direttamente alla data di entrata in esercizio</w:t>
      </w:r>
      <w:r w:rsidR="008D5931">
        <w:t xml:space="preserve"> per </w:t>
      </w:r>
      <w:r w:rsidR="00BE550B" w:rsidRPr="00BE1CB7">
        <w:t>gli impianti con costi di generazione più vicini alla competitività di mercato</w:t>
      </w:r>
      <w:r w:rsidR="005A0539" w:rsidRPr="00BE1CB7">
        <w:t xml:space="preserve">, </w:t>
      </w:r>
      <w:r w:rsidR="00320336">
        <w:t xml:space="preserve">mentre </w:t>
      </w:r>
      <w:r w:rsidR="005A0539" w:rsidRPr="00BE1CB7">
        <w:t>per impianti innovativi e per impianti con costi di generazione maggiormente elevati, ai fini del controllo della spesa, l’incentivo è attribuito tramite bandi in cui sono messi a disposizione contingenti di potenza e sono fissati criteri di selezione basati sul rispetto di requisiti tecnici, di tutela ambientale e del territorio e di efficienza dei costi</w:t>
      </w:r>
      <w:r w:rsidR="008D5931">
        <w:t>;</w:t>
      </w:r>
    </w:p>
    <w:p w:rsidR="00A87640" w:rsidRDefault="00E13DDB" w:rsidP="00A87640">
      <w:pPr>
        <w:spacing w:before="240" w:after="120"/>
        <w:ind w:left="66"/>
        <w:rPr>
          <w:rFonts w:ascii="inherit" w:hAnsi="inherit"/>
          <w:bCs/>
          <w:color w:val="000000"/>
          <w:szCs w:val="24"/>
        </w:rPr>
      </w:pPr>
      <w:r>
        <w:rPr>
          <w:rFonts w:ascii="inherit" w:hAnsi="inherit"/>
          <w:b/>
          <w:color w:val="000000"/>
          <w:szCs w:val="24"/>
        </w:rPr>
        <w:t>CONSIDERATO</w:t>
      </w:r>
      <w:r>
        <w:rPr>
          <w:rFonts w:ascii="inherit" w:hAnsi="inherit"/>
          <w:bCs/>
          <w:color w:val="000000"/>
          <w:szCs w:val="24"/>
        </w:rPr>
        <w:t xml:space="preserve"> </w:t>
      </w:r>
      <w:r w:rsidR="00847B1D">
        <w:rPr>
          <w:rFonts w:ascii="inherit" w:hAnsi="inherit"/>
          <w:bCs/>
          <w:color w:val="000000"/>
          <w:szCs w:val="24"/>
        </w:rPr>
        <w:t xml:space="preserve">inoltre </w:t>
      </w:r>
      <w:r w:rsidR="00A87640">
        <w:rPr>
          <w:rFonts w:ascii="inherit" w:hAnsi="inherit"/>
          <w:bCs/>
          <w:color w:val="000000"/>
          <w:szCs w:val="24"/>
        </w:rPr>
        <w:t>che il predetto decreto legislativo</w:t>
      </w:r>
      <w:r w:rsidR="00A87640" w:rsidRPr="006F071A">
        <w:rPr>
          <w:rFonts w:ascii="inherit" w:hAnsi="inherit"/>
          <w:bCs/>
          <w:color w:val="000000"/>
          <w:szCs w:val="24"/>
        </w:rPr>
        <w:t xml:space="preserve">, </w:t>
      </w:r>
      <w:r w:rsidR="00A87640">
        <w:rPr>
          <w:rFonts w:ascii="inherit" w:hAnsi="inherit"/>
          <w:bCs/>
          <w:color w:val="000000"/>
          <w:szCs w:val="24"/>
        </w:rPr>
        <w:t>agli articoli 6 e 7</w:t>
      </w:r>
      <w:r>
        <w:rPr>
          <w:rFonts w:ascii="inherit" w:hAnsi="inherit"/>
          <w:bCs/>
          <w:color w:val="000000"/>
          <w:szCs w:val="24"/>
        </w:rPr>
        <w:t>,</w:t>
      </w:r>
      <w:r w:rsidR="00A87640">
        <w:rPr>
          <w:rFonts w:ascii="inherit" w:hAnsi="inherit"/>
          <w:bCs/>
          <w:color w:val="000000"/>
          <w:szCs w:val="24"/>
        </w:rPr>
        <w:t xml:space="preserve"> disciplina i </w:t>
      </w:r>
      <w:r w:rsidR="00A87640" w:rsidRPr="007A3CB0">
        <w:rPr>
          <w:rFonts w:ascii="inherit" w:hAnsi="inherit"/>
          <w:bCs/>
          <w:color w:val="000000"/>
          <w:szCs w:val="24"/>
        </w:rPr>
        <w:t>criteri</w:t>
      </w:r>
      <w:r w:rsidR="00D8653A" w:rsidRPr="007A3CB0">
        <w:rPr>
          <w:rFonts w:ascii="inherit" w:hAnsi="inherit"/>
          <w:bCs/>
          <w:color w:val="000000"/>
          <w:szCs w:val="24"/>
        </w:rPr>
        <w:t xml:space="preserve"> specifici</w:t>
      </w:r>
      <w:r w:rsidR="00A87640" w:rsidRPr="00E13DDB">
        <w:rPr>
          <w:rFonts w:ascii="inherit" w:hAnsi="inherit"/>
          <w:bCs/>
          <w:color w:val="000000"/>
          <w:szCs w:val="24"/>
        </w:rPr>
        <w:t xml:space="preserve"> cui devono conformarsi i </w:t>
      </w:r>
      <w:r w:rsidR="00A87640" w:rsidRPr="007A3CB0">
        <w:rPr>
          <w:rFonts w:ascii="inherit" w:hAnsi="inherit"/>
          <w:bCs/>
          <w:color w:val="000000"/>
          <w:szCs w:val="24"/>
        </w:rPr>
        <w:t>meccanismi di incentivazione</w:t>
      </w:r>
      <w:r>
        <w:rPr>
          <w:rFonts w:ascii="inherit" w:hAnsi="inherit"/>
          <w:bCs/>
          <w:color w:val="000000"/>
          <w:szCs w:val="24"/>
        </w:rPr>
        <w:t>,</w:t>
      </w:r>
      <w:r w:rsidR="00A87640">
        <w:rPr>
          <w:rFonts w:ascii="inherit" w:hAnsi="inherit"/>
          <w:bCs/>
          <w:color w:val="000000"/>
          <w:szCs w:val="24"/>
        </w:rPr>
        <w:t xml:space="preserve"> </w:t>
      </w:r>
      <w:r w:rsidR="00D8653A">
        <w:rPr>
          <w:rFonts w:ascii="inherit" w:hAnsi="inherit"/>
          <w:bCs/>
          <w:color w:val="000000"/>
          <w:szCs w:val="24"/>
        </w:rPr>
        <w:t>prevedendo</w:t>
      </w:r>
      <w:r w:rsidR="00A87640">
        <w:rPr>
          <w:rFonts w:ascii="inherit" w:hAnsi="inherit"/>
          <w:bCs/>
          <w:color w:val="000000"/>
          <w:szCs w:val="24"/>
        </w:rPr>
        <w:t xml:space="preserve"> in particolare: </w:t>
      </w:r>
    </w:p>
    <w:p w:rsidR="00A961FA" w:rsidRPr="00423FDF" w:rsidRDefault="00A961FA" w:rsidP="00FF03FF">
      <w:pPr>
        <w:pStyle w:val="Paragrafoelenco"/>
        <w:numPr>
          <w:ilvl w:val="0"/>
          <w:numId w:val="32"/>
        </w:numPr>
        <w:spacing w:before="240"/>
        <w:rPr>
          <w:rFonts w:ascii="inherit" w:hAnsi="inherit"/>
          <w:bCs/>
          <w:color w:val="000000"/>
          <w:szCs w:val="24"/>
        </w:rPr>
      </w:pPr>
      <w:r w:rsidRPr="00A030CD">
        <w:rPr>
          <w:rFonts w:ascii="inherit" w:hAnsi="inherit"/>
          <w:bCs/>
          <w:color w:val="000000"/>
          <w:szCs w:val="24"/>
        </w:rPr>
        <w:t xml:space="preserve">per </w:t>
      </w:r>
      <w:r w:rsidR="00423FDF">
        <w:rPr>
          <w:rFonts w:ascii="inherit" w:hAnsi="inherit"/>
          <w:bCs/>
          <w:color w:val="000000"/>
          <w:szCs w:val="24"/>
        </w:rPr>
        <w:t>le procedure</w:t>
      </w:r>
      <w:r w:rsidRPr="00A030CD">
        <w:rPr>
          <w:rFonts w:ascii="inherit" w:hAnsi="inherit"/>
          <w:bCs/>
          <w:color w:val="000000"/>
          <w:szCs w:val="24"/>
        </w:rPr>
        <w:t xml:space="preserve"> </w:t>
      </w:r>
      <w:r w:rsidR="00423FDF">
        <w:rPr>
          <w:rFonts w:ascii="inherit" w:hAnsi="inherit"/>
          <w:bCs/>
          <w:color w:val="000000"/>
          <w:szCs w:val="24"/>
        </w:rPr>
        <w:t xml:space="preserve">d’asta </w:t>
      </w:r>
      <w:r w:rsidRPr="00A030CD">
        <w:rPr>
          <w:rFonts w:ascii="inherit" w:hAnsi="inherit"/>
          <w:bCs/>
          <w:color w:val="000000"/>
          <w:szCs w:val="24"/>
        </w:rPr>
        <w:t>per grandi impianti</w:t>
      </w:r>
      <w:r w:rsidR="00676360">
        <w:rPr>
          <w:rFonts w:ascii="inherit" w:hAnsi="inherit"/>
          <w:bCs/>
          <w:color w:val="000000"/>
          <w:szCs w:val="24"/>
        </w:rPr>
        <w:t>, che</w:t>
      </w:r>
      <w:r w:rsidRPr="00A030CD">
        <w:rPr>
          <w:rFonts w:ascii="inherit" w:hAnsi="inherit"/>
          <w:bCs/>
          <w:color w:val="000000"/>
          <w:szCs w:val="24"/>
        </w:rPr>
        <w:t xml:space="preserve"> l’i</w:t>
      </w:r>
      <w:r w:rsidR="005E7CF8" w:rsidRPr="00A030CD">
        <w:rPr>
          <w:rFonts w:ascii="inherit" w:hAnsi="inherit"/>
          <w:bCs/>
          <w:color w:val="000000"/>
          <w:szCs w:val="24"/>
        </w:rPr>
        <w:t xml:space="preserve">ncentivo </w:t>
      </w:r>
      <w:r w:rsidR="002F6CAE" w:rsidRPr="00A030CD">
        <w:rPr>
          <w:rFonts w:ascii="inherit" w:hAnsi="inherit"/>
          <w:bCs/>
          <w:color w:val="000000"/>
          <w:szCs w:val="24"/>
        </w:rPr>
        <w:t>sia</w:t>
      </w:r>
      <w:r w:rsidR="005E7CF8" w:rsidRPr="00A030CD">
        <w:rPr>
          <w:rFonts w:ascii="inherit" w:hAnsi="inherit"/>
          <w:bCs/>
          <w:color w:val="000000"/>
          <w:szCs w:val="24"/>
        </w:rPr>
        <w:t xml:space="preserve"> assegnato tramite procedure di asta al ribasso </w:t>
      </w:r>
      <w:r w:rsidR="00465A45" w:rsidRPr="00A030CD">
        <w:rPr>
          <w:bCs/>
        </w:rPr>
        <w:t>anche riferit</w:t>
      </w:r>
      <w:r w:rsidR="002F6CAE" w:rsidRPr="00A030CD">
        <w:rPr>
          <w:bCs/>
        </w:rPr>
        <w:t>e</w:t>
      </w:r>
      <w:r w:rsidR="00465A45" w:rsidRPr="00A030CD">
        <w:rPr>
          <w:bCs/>
        </w:rPr>
        <w:t xml:space="preserve"> a più tecnologie e specifiche categorie di interventi</w:t>
      </w:r>
      <w:r w:rsidR="002F6CAE" w:rsidRPr="00A030CD">
        <w:rPr>
          <w:bCs/>
        </w:rPr>
        <w:t xml:space="preserve"> e</w:t>
      </w:r>
      <w:r w:rsidR="00465A45" w:rsidRPr="00A030CD">
        <w:rPr>
          <w:bCs/>
        </w:rPr>
        <w:t xml:space="preserve"> che tali procedure siano </w:t>
      </w:r>
      <w:r w:rsidR="008A7232" w:rsidRPr="00A030CD">
        <w:rPr>
          <w:bCs/>
        </w:rPr>
        <w:t>realizzate</w:t>
      </w:r>
      <w:r w:rsidR="00B658C3" w:rsidRPr="00A030CD">
        <w:rPr>
          <w:bCs/>
        </w:rPr>
        <w:t xml:space="preserve"> stabilen</w:t>
      </w:r>
      <w:r w:rsidR="002F6CAE" w:rsidRPr="00A030CD">
        <w:rPr>
          <w:bCs/>
        </w:rPr>
        <w:t>do</w:t>
      </w:r>
      <w:r w:rsidR="008A7232" w:rsidRPr="00A030CD">
        <w:rPr>
          <w:bCs/>
        </w:rPr>
        <w:t xml:space="preserve"> una programmazione di</w:t>
      </w:r>
      <w:r w:rsidR="00B658C3" w:rsidRPr="00A030CD">
        <w:rPr>
          <w:bCs/>
        </w:rPr>
        <w:t xml:space="preserve"> contingenti su base quinque</w:t>
      </w:r>
      <w:r w:rsidR="002F6CAE" w:rsidRPr="00A030CD">
        <w:rPr>
          <w:bCs/>
        </w:rPr>
        <w:t>nnale</w:t>
      </w:r>
      <w:r w:rsidR="006347D1" w:rsidRPr="00A030CD">
        <w:rPr>
          <w:bCs/>
        </w:rPr>
        <w:t>;</w:t>
      </w:r>
    </w:p>
    <w:p w:rsidR="00423FDF" w:rsidRPr="00A030CD" w:rsidRDefault="00423FDF" w:rsidP="00FF03FF">
      <w:pPr>
        <w:pStyle w:val="Paragrafoelenco"/>
        <w:numPr>
          <w:ilvl w:val="0"/>
          <w:numId w:val="32"/>
        </w:numPr>
        <w:rPr>
          <w:rFonts w:ascii="inherit" w:hAnsi="inherit"/>
          <w:bCs/>
          <w:color w:val="000000"/>
          <w:szCs w:val="24"/>
        </w:rPr>
      </w:pPr>
      <w:r>
        <w:t xml:space="preserve">per le procedure d’asta, che il meccanismo possa essere esteso anche a potenze inferiore a 1 MW, </w:t>
      </w:r>
      <w:r w:rsidRPr="00BE1CB7">
        <w:t>tenendo conto delle specifiche caratteristiche delle diverse tipologie di impianto e della progressiva maturazione delle tecnologie, al fine di aumentare l'efficienza complessiva del sistema di incentivazione, ridurne i costi e stimolare la concorrenza</w:t>
      </w:r>
      <w:r>
        <w:t>;</w:t>
      </w:r>
    </w:p>
    <w:p w:rsidR="00A030CD" w:rsidRPr="00A030CD" w:rsidRDefault="006347D1" w:rsidP="00FF03FF">
      <w:pPr>
        <w:pStyle w:val="Paragrafoelenco"/>
        <w:numPr>
          <w:ilvl w:val="0"/>
          <w:numId w:val="32"/>
        </w:numPr>
        <w:rPr>
          <w:rFonts w:ascii="inherit" w:hAnsi="inherit"/>
          <w:bCs/>
          <w:color w:val="000000"/>
          <w:szCs w:val="24"/>
        </w:rPr>
      </w:pPr>
      <w:r w:rsidRPr="00A030CD">
        <w:rPr>
          <w:bCs/>
        </w:rPr>
        <w:t xml:space="preserve">per </w:t>
      </w:r>
      <w:r w:rsidR="00423FDF">
        <w:rPr>
          <w:bCs/>
        </w:rPr>
        <w:t xml:space="preserve">le procedure </w:t>
      </w:r>
      <w:r w:rsidRPr="00A030CD">
        <w:rPr>
          <w:bCs/>
        </w:rPr>
        <w:t>per piccoli impiant</w:t>
      </w:r>
      <w:r w:rsidR="006D3397" w:rsidRPr="00A030CD">
        <w:rPr>
          <w:bCs/>
        </w:rPr>
        <w:t>i</w:t>
      </w:r>
      <w:r w:rsidR="00D33B3C">
        <w:rPr>
          <w:bCs/>
        </w:rPr>
        <w:t xml:space="preserve">, </w:t>
      </w:r>
      <w:r w:rsidR="00676360">
        <w:rPr>
          <w:bCs/>
        </w:rPr>
        <w:t xml:space="preserve">che </w:t>
      </w:r>
      <w:r w:rsidR="006D3397" w:rsidRPr="00A030CD">
        <w:rPr>
          <w:bCs/>
        </w:rPr>
        <w:t xml:space="preserve">l’incentivo </w:t>
      </w:r>
      <w:r w:rsidR="00A93B83" w:rsidRPr="00A030CD">
        <w:rPr>
          <w:bCs/>
        </w:rPr>
        <w:t xml:space="preserve">sia assegnato prevedendo il rispetto di requisiti di tutela ambientale e del territorio e poi </w:t>
      </w:r>
      <w:r w:rsidR="001754AD" w:rsidRPr="00A030CD">
        <w:rPr>
          <w:bCs/>
        </w:rPr>
        <w:t xml:space="preserve">anche </w:t>
      </w:r>
      <w:r w:rsidR="00A93B83" w:rsidRPr="00A030CD">
        <w:rPr>
          <w:bCs/>
        </w:rPr>
        <w:t>offert</w:t>
      </w:r>
      <w:r w:rsidR="001754AD" w:rsidRPr="00A030CD">
        <w:rPr>
          <w:bCs/>
        </w:rPr>
        <w:t>e</w:t>
      </w:r>
      <w:r w:rsidR="00A93B83" w:rsidRPr="00A030CD">
        <w:rPr>
          <w:bCs/>
        </w:rPr>
        <w:t xml:space="preserve"> di riduzione percentuale della tariffa base</w:t>
      </w:r>
      <w:r w:rsidR="001754AD" w:rsidRPr="00A030CD">
        <w:rPr>
          <w:bCs/>
        </w:rPr>
        <w:t>;</w:t>
      </w:r>
    </w:p>
    <w:p w:rsidR="00CE0F00" w:rsidRPr="00A030CD" w:rsidRDefault="001754AD" w:rsidP="00FF03FF">
      <w:pPr>
        <w:pStyle w:val="Paragrafoelenco"/>
        <w:numPr>
          <w:ilvl w:val="0"/>
          <w:numId w:val="32"/>
        </w:numPr>
        <w:spacing w:after="120"/>
        <w:rPr>
          <w:rFonts w:ascii="inherit" w:hAnsi="inherit"/>
          <w:bCs/>
          <w:color w:val="000000"/>
          <w:szCs w:val="24"/>
        </w:rPr>
      </w:pPr>
      <w:r w:rsidRPr="00A030CD">
        <w:rPr>
          <w:bCs/>
        </w:rPr>
        <w:t>per entrambi i meccanismi</w:t>
      </w:r>
      <w:r w:rsidR="00D33B3C">
        <w:rPr>
          <w:bCs/>
        </w:rPr>
        <w:t>,</w:t>
      </w:r>
      <w:r w:rsidRPr="00A030CD">
        <w:rPr>
          <w:bCs/>
        </w:rPr>
        <w:t xml:space="preserve"> </w:t>
      </w:r>
      <w:r w:rsidR="00676360">
        <w:rPr>
          <w:bCs/>
        </w:rPr>
        <w:t xml:space="preserve">che </w:t>
      </w:r>
      <w:r w:rsidRPr="00A030CD">
        <w:rPr>
          <w:bCs/>
        </w:rPr>
        <w:t xml:space="preserve">siano </w:t>
      </w:r>
      <w:r w:rsidR="00CE0F00" w:rsidRPr="00A030CD">
        <w:rPr>
          <w:bCs/>
        </w:rPr>
        <w:t>previsti sistemi di controllo e regolazione delle procedure competitive</w:t>
      </w:r>
      <w:r w:rsidR="00C40D86" w:rsidRPr="00A030CD">
        <w:rPr>
          <w:bCs/>
        </w:rPr>
        <w:t xml:space="preserve">, individuando </w:t>
      </w:r>
      <w:r w:rsidR="00CE0F00" w:rsidRPr="00A030CD">
        <w:rPr>
          <w:bCs/>
        </w:rPr>
        <w:t xml:space="preserve">algoritmi e condizioni per la calibrazione delle quote di potenza rese disponibili </w:t>
      </w:r>
      <w:r w:rsidR="00C40D86" w:rsidRPr="00A030CD">
        <w:rPr>
          <w:bCs/>
        </w:rPr>
        <w:t>nelle procedure</w:t>
      </w:r>
      <w:r w:rsidR="00CE0F00" w:rsidRPr="00A030CD">
        <w:rPr>
          <w:bCs/>
        </w:rPr>
        <w:t xml:space="preserve"> e del livello degli incentivi a base d’asta</w:t>
      </w:r>
      <w:r w:rsidR="00816374">
        <w:rPr>
          <w:bCs/>
        </w:rPr>
        <w:t xml:space="preserve"> e che </w:t>
      </w:r>
      <w:r w:rsidR="00CE0F00" w:rsidRPr="00A030CD">
        <w:rPr>
          <w:bCs/>
        </w:rPr>
        <w:t>le predette variazioni s</w:t>
      </w:r>
      <w:r w:rsidR="00816374">
        <w:rPr>
          <w:bCs/>
        </w:rPr>
        <w:t>ia</w:t>
      </w:r>
      <w:r w:rsidR="00CE0F00" w:rsidRPr="00A030CD">
        <w:rPr>
          <w:bCs/>
        </w:rPr>
        <w:t>no approvate con decreto del Ministro della transizione ecologica, sentita l’ARERA</w:t>
      </w:r>
      <w:r w:rsidR="00E13DDB">
        <w:rPr>
          <w:bCs/>
        </w:rPr>
        <w:t>;</w:t>
      </w:r>
    </w:p>
    <w:p w:rsidR="00FA4748" w:rsidRDefault="00E13DDB" w:rsidP="00E33776">
      <w:pPr>
        <w:spacing w:before="240" w:after="120"/>
        <w:rPr>
          <w:szCs w:val="24"/>
        </w:rPr>
      </w:pPr>
      <w:r>
        <w:rPr>
          <w:b/>
          <w:bCs/>
          <w:szCs w:val="24"/>
        </w:rPr>
        <w:t>CONSIDERATO</w:t>
      </w:r>
      <w:r w:rsidR="00547688" w:rsidRPr="00665976">
        <w:rPr>
          <w:szCs w:val="24"/>
        </w:rPr>
        <w:t xml:space="preserve"> </w:t>
      </w:r>
      <w:r w:rsidR="00CC6336">
        <w:rPr>
          <w:szCs w:val="24"/>
        </w:rPr>
        <w:t xml:space="preserve">che il predetto decreto legislativo, </w:t>
      </w:r>
      <w:r w:rsidR="00505901">
        <w:rPr>
          <w:szCs w:val="24"/>
        </w:rPr>
        <w:t>all’articolo 42</w:t>
      </w:r>
      <w:r w:rsidR="00A020AE">
        <w:rPr>
          <w:szCs w:val="24"/>
        </w:rPr>
        <w:t>,</w:t>
      </w:r>
      <w:r w:rsidR="00505901">
        <w:rPr>
          <w:szCs w:val="24"/>
        </w:rPr>
        <w:t xml:space="preserve"> </w:t>
      </w:r>
      <w:r w:rsidR="00CC6336">
        <w:rPr>
          <w:szCs w:val="24"/>
        </w:rPr>
        <w:t>comm</w:t>
      </w:r>
      <w:r w:rsidR="00FA4748">
        <w:rPr>
          <w:szCs w:val="24"/>
        </w:rPr>
        <w:t>i</w:t>
      </w:r>
      <w:r w:rsidR="00CC6336">
        <w:rPr>
          <w:szCs w:val="24"/>
        </w:rPr>
        <w:t xml:space="preserve"> 2</w:t>
      </w:r>
      <w:r w:rsidR="00FA4748">
        <w:rPr>
          <w:szCs w:val="24"/>
        </w:rPr>
        <w:t xml:space="preserve"> e 3</w:t>
      </w:r>
      <w:r w:rsidR="00A020AE">
        <w:rPr>
          <w:szCs w:val="24"/>
        </w:rPr>
        <w:t>,</w:t>
      </w:r>
      <w:r w:rsidR="00CC6336">
        <w:rPr>
          <w:szCs w:val="24"/>
        </w:rPr>
        <w:t xml:space="preserve"> stabilisc</w:t>
      </w:r>
      <w:r w:rsidR="004609B2">
        <w:rPr>
          <w:szCs w:val="24"/>
        </w:rPr>
        <w:t>e che</w:t>
      </w:r>
      <w:r w:rsidR="00FA4748">
        <w:rPr>
          <w:szCs w:val="24"/>
        </w:rPr>
        <w:t>:</w:t>
      </w:r>
    </w:p>
    <w:p w:rsidR="00FA3CFF" w:rsidRDefault="004609B2" w:rsidP="00294098">
      <w:pPr>
        <w:pStyle w:val="Paragrafoelenco"/>
        <w:numPr>
          <w:ilvl w:val="0"/>
          <w:numId w:val="44"/>
        </w:numPr>
        <w:spacing w:before="240"/>
        <w:ind w:left="426"/>
        <w:rPr>
          <w:rFonts w:eastAsia="Calibri"/>
          <w:szCs w:val="24"/>
        </w:rPr>
      </w:pPr>
      <w:r w:rsidRPr="00F301C6">
        <w:rPr>
          <w:szCs w:val="24"/>
        </w:rPr>
        <w:t>i</w:t>
      </w:r>
      <w:r w:rsidR="00505901" w:rsidRPr="00A5309C">
        <w:rPr>
          <w:rFonts w:eastAsia="Calibri"/>
          <w:szCs w:val="24"/>
        </w:rPr>
        <w:t xml:space="preserve"> criteri di </w:t>
      </w:r>
      <w:r w:rsidRPr="00665976">
        <w:rPr>
          <w:rFonts w:eastAsia="Calibri"/>
          <w:szCs w:val="24"/>
        </w:rPr>
        <w:t>sostenibilit</w:t>
      </w:r>
      <w:r w:rsidR="00A020AE" w:rsidRPr="00665976">
        <w:rPr>
          <w:rFonts w:eastAsia="Calibri"/>
          <w:szCs w:val="24"/>
        </w:rPr>
        <w:t>à, r</w:t>
      </w:r>
      <w:r w:rsidRPr="00665976">
        <w:rPr>
          <w:rFonts w:eastAsia="Calibri"/>
          <w:szCs w:val="24"/>
        </w:rPr>
        <w:t>iduzione delle emissioni di gas ad effetto serra ed efficienza energetica di cui al medesimo articolo</w:t>
      </w:r>
      <w:r w:rsidR="00505901" w:rsidRPr="00665976">
        <w:rPr>
          <w:rFonts w:eastAsia="Calibri"/>
          <w:szCs w:val="24"/>
        </w:rPr>
        <w:t xml:space="preserve"> </w:t>
      </w:r>
      <w:r w:rsidR="00FA4748" w:rsidRPr="00665976">
        <w:rPr>
          <w:rFonts w:eastAsia="Calibri"/>
          <w:szCs w:val="24"/>
        </w:rPr>
        <w:t xml:space="preserve">42 </w:t>
      </w:r>
      <w:r w:rsidR="00505901" w:rsidRPr="00665976">
        <w:rPr>
          <w:rFonts w:eastAsia="Calibri"/>
          <w:szCs w:val="24"/>
        </w:rPr>
        <w:t xml:space="preserve">non si applicano </w:t>
      </w:r>
      <w:r w:rsidR="00E33776" w:rsidRPr="00665976">
        <w:rPr>
          <w:rFonts w:eastAsia="Calibri"/>
          <w:szCs w:val="24"/>
        </w:rPr>
        <w:t>agli</w:t>
      </w:r>
      <w:r w:rsidR="00505901" w:rsidRPr="00665976">
        <w:rPr>
          <w:rFonts w:eastAsia="Calibri"/>
          <w:szCs w:val="24"/>
        </w:rPr>
        <w:t xml:space="preserve"> impianti di produzione di energia elettrica</w:t>
      </w:r>
      <w:r w:rsidR="00E33776" w:rsidRPr="00665976">
        <w:rPr>
          <w:rFonts w:eastAsia="Calibri"/>
          <w:szCs w:val="24"/>
        </w:rPr>
        <w:t xml:space="preserve"> </w:t>
      </w:r>
      <w:r w:rsidR="00505901" w:rsidRPr="00665976">
        <w:rPr>
          <w:rFonts w:eastAsia="Calibri"/>
          <w:szCs w:val="24"/>
        </w:rPr>
        <w:t>di potenza termica nominale totale inferiore a 20 MW che impiegano combustibili solidi da biomassa</w:t>
      </w:r>
      <w:r w:rsidR="00E33776" w:rsidRPr="00665976">
        <w:rPr>
          <w:rFonts w:eastAsia="Calibri"/>
          <w:szCs w:val="24"/>
        </w:rPr>
        <w:t xml:space="preserve"> e </w:t>
      </w:r>
      <w:r w:rsidR="00505901" w:rsidRPr="00665976">
        <w:rPr>
          <w:rFonts w:eastAsia="Calibri"/>
          <w:szCs w:val="24"/>
        </w:rPr>
        <w:t>di potenza termica nominale totale inferiore a 2 MW che impiegano combustibili gassosi da biomassa</w:t>
      </w:r>
      <w:r w:rsidR="00E33776" w:rsidRPr="00665976">
        <w:rPr>
          <w:rFonts w:eastAsia="Calibri"/>
          <w:szCs w:val="24"/>
        </w:rPr>
        <w:t>;</w:t>
      </w:r>
    </w:p>
    <w:p w:rsidR="00505901" w:rsidRPr="00665976" w:rsidRDefault="00FA3CFF" w:rsidP="00294098">
      <w:pPr>
        <w:pStyle w:val="Paragrafoelenco"/>
        <w:numPr>
          <w:ilvl w:val="0"/>
          <w:numId w:val="44"/>
        </w:numPr>
        <w:ind w:left="426" w:hanging="357"/>
        <w:rPr>
          <w:rFonts w:eastAsia="Calibri"/>
          <w:szCs w:val="24"/>
        </w:rPr>
      </w:pPr>
      <w:r w:rsidRPr="00F301C6">
        <w:rPr>
          <w:rFonts w:eastAsia="Calibri"/>
          <w:szCs w:val="24"/>
        </w:rPr>
        <w:t>l’accesso a nuovi regimi di sostegno da parte dei predetti impianti</w:t>
      </w:r>
      <w:r w:rsidR="00505901" w:rsidRPr="00A5309C">
        <w:rPr>
          <w:rFonts w:eastAsia="Calibri"/>
          <w:szCs w:val="24"/>
        </w:rPr>
        <w:t xml:space="preserve"> è </w:t>
      </w:r>
      <w:r w:rsidR="00130466" w:rsidRPr="00665976">
        <w:rPr>
          <w:rFonts w:eastAsia="Calibri"/>
          <w:szCs w:val="24"/>
        </w:rPr>
        <w:t xml:space="preserve">comunque </w:t>
      </w:r>
      <w:r w:rsidR="00505901" w:rsidRPr="00665976">
        <w:rPr>
          <w:rFonts w:eastAsia="Calibri"/>
          <w:szCs w:val="24"/>
        </w:rPr>
        <w:t>condizionato al rispetto di criteri tecnici che assicurano una riduzione delle emissioni comparabile a quella prevista dal comma 12</w:t>
      </w:r>
      <w:r w:rsidR="007A4850" w:rsidRPr="00665976">
        <w:rPr>
          <w:rFonts w:eastAsia="Calibri"/>
          <w:szCs w:val="24"/>
        </w:rPr>
        <w:t xml:space="preserve"> dell’articolo 42</w:t>
      </w:r>
      <w:r w:rsidR="003C753E">
        <w:rPr>
          <w:rFonts w:eastAsia="Calibri"/>
          <w:szCs w:val="24"/>
        </w:rPr>
        <w:t>,</w:t>
      </w:r>
      <w:r w:rsidR="007A4850" w:rsidRPr="00F301C6">
        <w:rPr>
          <w:rFonts w:eastAsia="Calibri"/>
          <w:szCs w:val="24"/>
        </w:rPr>
        <w:t xml:space="preserve"> e che t</w:t>
      </w:r>
      <w:r w:rsidR="00505901" w:rsidRPr="00A5309C">
        <w:rPr>
          <w:rFonts w:eastAsia="Calibri"/>
          <w:szCs w:val="24"/>
        </w:rPr>
        <w:t>ali criteri sono stabiliti dai decreti istitutivi dei meccanismi di incentivazione</w:t>
      </w:r>
      <w:r w:rsidR="007A4850" w:rsidRPr="00665976">
        <w:rPr>
          <w:rFonts w:eastAsia="Calibri"/>
          <w:szCs w:val="24"/>
        </w:rPr>
        <w:t>;</w:t>
      </w:r>
    </w:p>
    <w:p w:rsidR="002F1ABC" w:rsidRDefault="002F1ABC" w:rsidP="002F1ABC">
      <w:pPr>
        <w:spacing w:before="240" w:after="120"/>
        <w:rPr>
          <w:szCs w:val="24"/>
        </w:rPr>
      </w:pPr>
      <w:r w:rsidRPr="00E34445">
        <w:rPr>
          <w:b/>
          <w:bCs/>
          <w:szCs w:val="24"/>
        </w:rPr>
        <w:t>RITENUTO</w:t>
      </w:r>
      <w:r w:rsidR="00E13DDB" w:rsidRPr="007A3CB0">
        <w:rPr>
          <w:szCs w:val="24"/>
        </w:rPr>
        <w:t>,</w:t>
      </w:r>
      <w:r>
        <w:rPr>
          <w:szCs w:val="24"/>
        </w:rPr>
        <w:t xml:space="preserve"> </w:t>
      </w:r>
      <w:r w:rsidR="00571469">
        <w:rPr>
          <w:szCs w:val="24"/>
        </w:rPr>
        <w:t>anche in considerazione di quanto</w:t>
      </w:r>
      <w:r w:rsidR="00F76E11">
        <w:rPr>
          <w:szCs w:val="24"/>
        </w:rPr>
        <w:t xml:space="preserve"> previsto dalla richiamata Riforma 1.1 </w:t>
      </w:r>
      <w:r w:rsidR="00571469">
        <w:rPr>
          <w:szCs w:val="24"/>
        </w:rPr>
        <w:t>de</w:t>
      </w:r>
      <w:r w:rsidR="00F76E11">
        <w:rPr>
          <w:szCs w:val="24"/>
        </w:rPr>
        <w:t xml:space="preserve">l PNRR, </w:t>
      </w:r>
      <w:r>
        <w:rPr>
          <w:szCs w:val="24"/>
        </w:rPr>
        <w:t xml:space="preserve">di dover </w:t>
      </w:r>
      <w:r w:rsidR="008252DB">
        <w:rPr>
          <w:szCs w:val="24"/>
        </w:rPr>
        <w:t>dare</w:t>
      </w:r>
      <w:r w:rsidR="00E13DDB">
        <w:rPr>
          <w:szCs w:val="24"/>
        </w:rPr>
        <w:t xml:space="preserve"> prioritariamente</w:t>
      </w:r>
      <w:r w:rsidR="008252DB">
        <w:rPr>
          <w:szCs w:val="24"/>
        </w:rPr>
        <w:t xml:space="preserve"> attuazione alle richiamate disposizioni del decreto legislativo n. </w:t>
      </w:r>
      <w:r w:rsidR="005E7A97">
        <w:rPr>
          <w:szCs w:val="24"/>
        </w:rPr>
        <w:t>199</w:t>
      </w:r>
      <w:r w:rsidR="008252DB">
        <w:rPr>
          <w:szCs w:val="24"/>
        </w:rPr>
        <w:t xml:space="preserve"> del 2021, in modo da </w:t>
      </w:r>
      <w:r>
        <w:rPr>
          <w:szCs w:val="24"/>
        </w:rPr>
        <w:t>introdurre misure volte alla realizzazione di nuova potenza da fonti rinnovabili per applicazioni particolarmente innovative e con costi di generazione elevati, prevedendo, data la specificità di tali interventi, procedure e contingenti dedicati;</w:t>
      </w:r>
    </w:p>
    <w:p w:rsidR="002F1ABC" w:rsidRPr="002A3A53" w:rsidRDefault="002F1ABC" w:rsidP="002F1ABC">
      <w:pPr>
        <w:spacing w:before="240" w:after="120"/>
        <w:rPr>
          <w:szCs w:val="24"/>
        </w:rPr>
      </w:pPr>
      <w:r w:rsidRPr="007A3CB0">
        <w:rPr>
          <w:b/>
          <w:bCs/>
          <w:szCs w:val="24"/>
        </w:rPr>
        <w:t xml:space="preserve">RITENUTO, </w:t>
      </w:r>
      <w:r w:rsidRPr="007A3CB0">
        <w:rPr>
          <w:szCs w:val="24"/>
        </w:rPr>
        <w:t>quindi</w:t>
      </w:r>
      <w:r w:rsidR="001D463A" w:rsidRPr="007A3CB0">
        <w:rPr>
          <w:szCs w:val="24"/>
        </w:rPr>
        <w:t>,</w:t>
      </w:r>
      <w:r w:rsidRPr="007A3CB0">
        <w:rPr>
          <w:szCs w:val="24"/>
        </w:rPr>
        <w:t xml:space="preserve"> di demandare </w:t>
      </w:r>
      <w:r w:rsidR="00BC3977" w:rsidRPr="007A3CB0">
        <w:rPr>
          <w:szCs w:val="24"/>
        </w:rPr>
        <w:t>ad</w:t>
      </w:r>
      <w:r w:rsidR="001377EA" w:rsidRPr="007A3CB0">
        <w:rPr>
          <w:szCs w:val="24"/>
        </w:rPr>
        <w:t xml:space="preserve"> </w:t>
      </w:r>
      <w:r w:rsidR="00BC3977" w:rsidRPr="007A3CB0">
        <w:rPr>
          <w:szCs w:val="24"/>
        </w:rPr>
        <w:t>un successivo</w:t>
      </w:r>
      <w:r w:rsidRPr="007A3CB0">
        <w:rPr>
          <w:szCs w:val="24"/>
        </w:rPr>
        <w:t xml:space="preserve"> provvedimento la definizione dei contingenti </w:t>
      </w:r>
      <w:r w:rsidR="0025329A" w:rsidRPr="007A3CB0">
        <w:rPr>
          <w:szCs w:val="24"/>
        </w:rPr>
        <w:t>per</w:t>
      </w:r>
      <w:r w:rsidRPr="007A3CB0">
        <w:rPr>
          <w:szCs w:val="24"/>
        </w:rPr>
        <w:t xml:space="preserve"> nuovi impianti con costi più vicini alla competitività</w:t>
      </w:r>
      <w:r w:rsidR="001D463A" w:rsidRPr="007A3CB0">
        <w:rPr>
          <w:szCs w:val="24"/>
        </w:rPr>
        <w:t xml:space="preserve">, </w:t>
      </w:r>
      <w:r w:rsidR="00BC3977" w:rsidRPr="007A3CB0">
        <w:rPr>
          <w:szCs w:val="24"/>
        </w:rPr>
        <w:t xml:space="preserve">i quali sono già oggetto della disciplina di cui al </w:t>
      </w:r>
      <w:r w:rsidR="001E180F" w:rsidRPr="002A3A53">
        <w:rPr>
          <w:szCs w:val="24"/>
        </w:rPr>
        <w:t>DM 4 luglio 2019</w:t>
      </w:r>
      <w:r w:rsidRPr="002A3A53">
        <w:rPr>
          <w:szCs w:val="24"/>
        </w:rPr>
        <w:t>;</w:t>
      </w:r>
    </w:p>
    <w:p w:rsidR="00A71F93" w:rsidRDefault="00A71F93" w:rsidP="00A71F93">
      <w:pPr>
        <w:spacing w:before="240" w:after="120"/>
        <w:rPr>
          <w:szCs w:val="24"/>
        </w:rPr>
      </w:pPr>
      <w:r w:rsidRPr="007A3CB0">
        <w:rPr>
          <w:b/>
          <w:bCs/>
          <w:szCs w:val="24"/>
        </w:rPr>
        <w:lastRenderedPageBreak/>
        <w:t>CONSIDERATI</w:t>
      </w:r>
      <w:r w:rsidR="0016320D" w:rsidRPr="007A3CB0">
        <w:rPr>
          <w:szCs w:val="24"/>
        </w:rPr>
        <w:t>,</w:t>
      </w:r>
      <w:r w:rsidRPr="007A3CB0">
        <w:rPr>
          <w:szCs w:val="24"/>
        </w:rPr>
        <w:t xml:space="preserve"> gli esiti del</w:t>
      </w:r>
      <w:r w:rsidR="00A96AE6" w:rsidRPr="007A3CB0">
        <w:rPr>
          <w:szCs w:val="24"/>
        </w:rPr>
        <w:t xml:space="preserve">la ricognizione avviata dal Ministero della transizione ecologica il 25 giugno 2021 con l’Avviso pubblico </w:t>
      </w:r>
      <w:r w:rsidRPr="007A3CB0">
        <w:rPr>
          <w:szCs w:val="24"/>
        </w:rPr>
        <w:t xml:space="preserve">recante </w:t>
      </w:r>
      <w:r w:rsidR="00A96AE6" w:rsidRPr="007A3CB0">
        <w:rPr>
          <w:iCs/>
          <w:szCs w:val="24"/>
        </w:rPr>
        <w:t>“</w:t>
      </w:r>
      <w:r w:rsidR="00A96AE6" w:rsidRPr="007A3CB0">
        <w:rPr>
          <w:szCs w:val="24"/>
        </w:rPr>
        <w:t>Produzione di energia elettrica mediante impianti eolici offshore galleggianti</w:t>
      </w:r>
      <w:r w:rsidR="00A96AE6" w:rsidRPr="007A3CB0">
        <w:rPr>
          <w:iCs/>
          <w:szCs w:val="24"/>
        </w:rPr>
        <w:t>”</w:t>
      </w:r>
      <w:r w:rsidR="00F8608A" w:rsidRPr="007A3CB0">
        <w:rPr>
          <w:iCs/>
          <w:szCs w:val="24"/>
        </w:rPr>
        <w:t>,</w:t>
      </w:r>
      <w:r w:rsidR="00A96AE6" w:rsidRPr="007A3CB0">
        <w:rPr>
          <w:szCs w:val="24"/>
        </w:rPr>
        <w:t xml:space="preserve"> finalizzata ad acquisire le manifestazioni d’interesse da parte degli investitori per la realizzazione di progetti di produzione di energia elettrica mediante impianti eolici </w:t>
      </w:r>
      <w:r w:rsidR="00A96AE6" w:rsidRPr="007A3CB0">
        <w:rPr>
          <w:i/>
          <w:szCs w:val="24"/>
        </w:rPr>
        <w:t>offshore</w:t>
      </w:r>
      <w:r w:rsidR="00A96AE6" w:rsidRPr="007A3CB0">
        <w:rPr>
          <w:szCs w:val="24"/>
        </w:rPr>
        <w:t xml:space="preserve"> galleggianti</w:t>
      </w:r>
      <w:r w:rsidRPr="007A3CB0">
        <w:rPr>
          <w:szCs w:val="24"/>
        </w:rPr>
        <w:t xml:space="preserve">, che ha visto pervenire manifestazioni di interesse per una potenza superiore a quella contemplata </w:t>
      </w:r>
      <w:r w:rsidR="00FE0B51">
        <w:rPr>
          <w:szCs w:val="24"/>
        </w:rPr>
        <w:t xml:space="preserve">nel PNIEC </w:t>
      </w:r>
      <w:r w:rsidRPr="007A3CB0">
        <w:rPr>
          <w:szCs w:val="24"/>
        </w:rPr>
        <w:t>come obiettivo al 2030;</w:t>
      </w:r>
    </w:p>
    <w:p w:rsidR="00EE29F7" w:rsidRDefault="0094063E" w:rsidP="00A96AE6">
      <w:pPr>
        <w:spacing w:before="240" w:after="120"/>
        <w:rPr>
          <w:szCs w:val="24"/>
        </w:rPr>
      </w:pPr>
      <w:r>
        <w:rPr>
          <w:b/>
          <w:bCs/>
          <w:szCs w:val="24"/>
        </w:rPr>
        <w:t>CONSIDERATA</w:t>
      </w:r>
      <w:r w:rsidR="00A96AE6">
        <w:rPr>
          <w:szCs w:val="24"/>
        </w:rPr>
        <w:t xml:space="preserve"> l’accelerazione che ha interessato lo sviluppo della tecnologia eolica </w:t>
      </w:r>
      <w:r w:rsidR="00A96AE6" w:rsidRPr="004D31F7">
        <w:rPr>
          <w:i/>
          <w:szCs w:val="24"/>
        </w:rPr>
        <w:t>off</w:t>
      </w:r>
      <w:r w:rsidR="00A96AE6">
        <w:rPr>
          <w:i/>
          <w:szCs w:val="24"/>
        </w:rPr>
        <w:t>-</w:t>
      </w:r>
      <w:r w:rsidR="00A96AE6" w:rsidRPr="004D31F7">
        <w:rPr>
          <w:i/>
          <w:szCs w:val="24"/>
        </w:rPr>
        <w:t xml:space="preserve">shore </w:t>
      </w:r>
      <w:r w:rsidR="00A96AE6" w:rsidRPr="004D31F7">
        <w:rPr>
          <w:szCs w:val="24"/>
        </w:rPr>
        <w:t>galleggiante</w:t>
      </w:r>
      <w:r w:rsidR="00A96AE6">
        <w:rPr>
          <w:szCs w:val="24"/>
        </w:rPr>
        <w:t>, anche per l’effetto del progetto previsto nell’ambito del PNRR e testimoniata altresì dal significativo aumento delle richieste di connessione presentate a T</w:t>
      </w:r>
      <w:r>
        <w:rPr>
          <w:szCs w:val="24"/>
        </w:rPr>
        <w:t>erna S.p.A.</w:t>
      </w:r>
      <w:r w:rsidR="00A96AE6">
        <w:rPr>
          <w:szCs w:val="24"/>
        </w:rPr>
        <w:t>;</w:t>
      </w:r>
    </w:p>
    <w:p w:rsidR="00CD47FF" w:rsidRDefault="00CD47FF" w:rsidP="00A96AE6">
      <w:pPr>
        <w:spacing w:before="240" w:after="120"/>
        <w:rPr>
          <w:szCs w:val="24"/>
        </w:rPr>
      </w:pPr>
      <w:r w:rsidRPr="00E34445">
        <w:rPr>
          <w:b/>
          <w:bCs/>
          <w:szCs w:val="24"/>
        </w:rPr>
        <w:t>RITENUTO</w:t>
      </w:r>
      <w:r>
        <w:rPr>
          <w:szCs w:val="24"/>
        </w:rPr>
        <w:t xml:space="preserve"> che sia necessario sperimentare il potenziale della predetta tecnologia eolica </w:t>
      </w:r>
      <w:r w:rsidRPr="004D31F7">
        <w:rPr>
          <w:i/>
          <w:szCs w:val="24"/>
        </w:rPr>
        <w:t>off</w:t>
      </w:r>
      <w:r>
        <w:rPr>
          <w:i/>
          <w:szCs w:val="24"/>
        </w:rPr>
        <w:t>-</w:t>
      </w:r>
      <w:r w:rsidRPr="004D31F7">
        <w:rPr>
          <w:i/>
          <w:szCs w:val="24"/>
        </w:rPr>
        <w:t xml:space="preserve">shore </w:t>
      </w:r>
      <w:r w:rsidRPr="004D31F7">
        <w:rPr>
          <w:szCs w:val="24"/>
        </w:rPr>
        <w:t>galleggiante</w:t>
      </w:r>
      <w:r w:rsidR="00A51F93">
        <w:rPr>
          <w:szCs w:val="24"/>
        </w:rPr>
        <w:t>,</w:t>
      </w:r>
      <w:r>
        <w:rPr>
          <w:szCs w:val="24"/>
        </w:rPr>
        <w:t xml:space="preserve"> considerando il minor impatto su</w:t>
      </w:r>
      <w:r w:rsidR="00834C08">
        <w:rPr>
          <w:szCs w:val="24"/>
        </w:rPr>
        <w:t>l</w:t>
      </w:r>
      <w:r>
        <w:rPr>
          <w:szCs w:val="24"/>
        </w:rPr>
        <w:t xml:space="preserve"> paesaggio e sull’ambiente</w:t>
      </w:r>
      <w:r w:rsidR="004D6780">
        <w:rPr>
          <w:szCs w:val="24"/>
        </w:rPr>
        <w:t>,</w:t>
      </w:r>
      <w:r w:rsidR="00A51F93">
        <w:rPr>
          <w:szCs w:val="24"/>
        </w:rPr>
        <w:t xml:space="preserve"> tenendo conto</w:t>
      </w:r>
      <w:r w:rsidR="004D6780">
        <w:rPr>
          <w:szCs w:val="24"/>
        </w:rPr>
        <w:t xml:space="preserve"> altresì</w:t>
      </w:r>
      <w:r w:rsidR="00A51F93">
        <w:rPr>
          <w:szCs w:val="24"/>
        </w:rPr>
        <w:t xml:space="preserve"> della necessità di realizzare ulteriore potenza eolica rispetto a quella individuata dal PNIEC, in attuazione del pacchetto “</w:t>
      </w:r>
      <w:r w:rsidR="00A51F93" w:rsidRPr="00B31281">
        <w:rPr>
          <w:i/>
          <w:szCs w:val="24"/>
        </w:rPr>
        <w:t>fit for 55%</w:t>
      </w:r>
      <w:r w:rsidR="00A51F93">
        <w:rPr>
          <w:szCs w:val="24"/>
        </w:rPr>
        <w:t>”;</w:t>
      </w:r>
    </w:p>
    <w:p w:rsidR="00EE29F7" w:rsidRDefault="00EE29F7" w:rsidP="00A96AE6">
      <w:pPr>
        <w:spacing w:before="240" w:after="120"/>
        <w:rPr>
          <w:szCs w:val="24"/>
        </w:rPr>
      </w:pPr>
      <w:r w:rsidRPr="00E34445">
        <w:rPr>
          <w:b/>
          <w:bCs/>
          <w:szCs w:val="24"/>
        </w:rPr>
        <w:t>RITENUTO</w:t>
      </w:r>
      <w:r>
        <w:rPr>
          <w:szCs w:val="24"/>
        </w:rPr>
        <w:t xml:space="preserve"> quindi, per le ragioni sopra esposte, di dover inserire la tecnologia eolica </w:t>
      </w:r>
      <w:r w:rsidRPr="004D31F7">
        <w:rPr>
          <w:i/>
          <w:szCs w:val="24"/>
        </w:rPr>
        <w:t>off</w:t>
      </w:r>
      <w:r>
        <w:rPr>
          <w:i/>
          <w:szCs w:val="24"/>
        </w:rPr>
        <w:t>-</w:t>
      </w:r>
      <w:r w:rsidRPr="004D31F7">
        <w:rPr>
          <w:i/>
          <w:szCs w:val="24"/>
        </w:rPr>
        <w:t xml:space="preserve">shore </w:t>
      </w:r>
      <w:r w:rsidRPr="004D31F7">
        <w:rPr>
          <w:szCs w:val="24"/>
        </w:rPr>
        <w:t>galleggiante</w:t>
      </w:r>
      <w:r>
        <w:rPr>
          <w:szCs w:val="24"/>
        </w:rPr>
        <w:t xml:space="preserve"> fra quelle oggetto del presente decreto</w:t>
      </w:r>
      <w:r w:rsidR="00D03064">
        <w:rPr>
          <w:szCs w:val="24"/>
        </w:rPr>
        <w:t xml:space="preserve">, </w:t>
      </w:r>
      <w:r w:rsidR="004848CC">
        <w:rPr>
          <w:szCs w:val="24"/>
        </w:rPr>
        <w:t>anche in ragione dell’innovazion</w:t>
      </w:r>
      <w:r w:rsidR="004D6780">
        <w:rPr>
          <w:szCs w:val="24"/>
        </w:rPr>
        <w:t>e</w:t>
      </w:r>
      <w:r w:rsidR="004848CC">
        <w:rPr>
          <w:szCs w:val="24"/>
        </w:rPr>
        <w:t xml:space="preserve"> tecnologica </w:t>
      </w:r>
      <w:r w:rsidR="00E57A5F">
        <w:rPr>
          <w:szCs w:val="24"/>
        </w:rPr>
        <w:t>di tale applicazione, attualmente non utilizzata in Italia in nessun impianto in esercizio</w:t>
      </w:r>
      <w:r w:rsidR="00E624F8">
        <w:rPr>
          <w:szCs w:val="24"/>
        </w:rPr>
        <w:t>;</w:t>
      </w:r>
    </w:p>
    <w:p w:rsidR="00F1206E" w:rsidRDefault="00F1206E" w:rsidP="00F1206E">
      <w:pPr>
        <w:spacing w:before="240" w:after="120"/>
        <w:rPr>
          <w:szCs w:val="24"/>
        </w:rPr>
      </w:pPr>
      <w:r w:rsidRPr="00834C08">
        <w:rPr>
          <w:b/>
          <w:bCs/>
          <w:szCs w:val="24"/>
        </w:rPr>
        <w:t>RITENUTO</w:t>
      </w:r>
      <w:r w:rsidRPr="001E7ABF">
        <w:rPr>
          <w:szCs w:val="24"/>
        </w:rPr>
        <w:t xml:space="preserve">, </w:t>
      </w:r>
      <w:r w:rsidR="00AC3F63">
        <w:rPr>
          <w:szCs w:val="24"/>
        </w:rPr>
        <w:t>inoltre</w:t>
      </w:r>
      <w:r w:rsidRPr="001E7ABF">
        <w:rPr>
          <w:szCs w:val="24"/>
        </w:rPr>
        <w:t xml:space="preserve">, di </w:t>
      </w:r>
      <w:r w:rsidR="00AC3F63">
        <w:rPr>
          <w:szCs w:val="24"/>
        </w:rPr>
        <w:t xml:space="preserve">dover </w:t>
      </w:r>
      <w:r w:rsidR="00AF540E">
        <w:rPr>
          <w:szCs w:val="24"/>
        </w:rPr>
        <w:t>prevedere</w:t>
      </w:r>
      <w:r w:rsidRPr="001E7ABF">
        <w:rPr>
          <w:szCs w:val="24"/>
        </w:rPr>
        <w:t xml:space="preserve"> incentivi </w:t>
      </w:r>
      <w:r w:rsidR="00AF540E">
        <w:rPr>
          <w:szCs w:val="24"/>
        </w:rPr>
        <w:t>per impianti</w:t>
      </w:r>
      <w:r w:rsidRPr="001E7ABF">
        <w:rPr>
          <w:szCs w:val="24"/>
        </w:rPr>
        <w:t xml:space="preserve"> </w:t>
      </w:r>
      <w:r w:rsidR="00AC3F63" w:rsidRPr="001E7ABF">
        <w:rPr>
          <w:szCs w:val="24"/>
        </w:rPr>
        <w:t>geotermic</w:t>
      </w:r>
      <w:r w:rsidR="00AC3F63">
        <w:rPr>
          <w:szCs w:val="24"/>
        </w:rPr>
        <w:t>i</w:t>
      </w:r>
      <w:r w:rsidR="00AC3F63" w:rsidRPr="001E7ABF">
        <w:rPr>
          <w:szCs w:val="24"/>
        </w:rPr>
        <w:t xml:space="preserve"> tradizional</w:t>
      </w:r>
      <w:r w:rsidR="00AC3F63">
        <w:rPr>
          <w:szCs w:val="24"/>
        </w:rPr>
        <w:t xml:space="preserve">i </w:t>
      </w:r>
      <w:r w:rsidR="00E925D7" w:rsidRPr="001E7ABF">
        <w:rPr>
          <w:szCs w:val="24"/>
        </w:rPr>
        <w:t xml:space="preserve">che </w:t>
      </w:r>
      <w:r w:rsidR="00AC3F63">
        <w:rPr>
          <w:szCs w:val="24"/>
        </w:rPr>
        <w:t xml:space="preserve">introducano innovazioni tali da </w:t>
      </w:r>
      <w:r w:rsidR="00E925D7" w:rsidRPr="001E7ABF">
        <w:rPr>
          <w:szCs w:val="24"/>
        </w:rPr>
        <w:t>rispett</w:t>
      </w:r>
      <w:r w:rsidR="004F75B7">
        <w:rPr>
          <w:szCs w:val="24"/>
        </w:rPr>
        <w:t>are</w:t>
      </w:r>
      <w:r w:rsidRPr="001E7ABF">
        <w:rPr>
          <w:szCs w:val="24"/>
        </w:rPr>
        <w:t xml:space="preserve"> determinati requisiti</w:t>
      </w:r>
      <w:r w:rsidR="00E925D7" w:rsidRPr="001E7ABF">
        <w:rPr>
          <w:szCs w:val="24"/>
        </w:rPr>
        <w:t xml:space="preserve"> in materia di </w:t>
      </w:r>
      <w:r w:rsidR="004F75B7">
        <w:rPr>
          <w:szCs w:val="24"/>
        </w:rPr>
        <w:t xml:space="preserve">abbattimento delle </w:t>
      </w:r>
      <w:r w:rsidR="00E925D7" w:rsidRPr="001E7ABF">
        <w:rPr>
          <w:szCs w:val="24"/>
        </w:rPr>
        <w:t>emissioni</w:t>
      </w:r>
      <w:r w:rsidR="007F439B" w:rsidRPr="001E7ABF">
        <w:rPr>
          <w:szCs w:val="24"/>
        </w:rPr>
        <w:t xml:space="preserve"> </w:t>
      </w:r>
      <w:r w:rsidR="00455ACC">
        <w:rPr>
          <w:szCs w:val="24"/>
        </w:rPr>
        <w:t xml:space="preserve">significativamente inferiori rispetto ai minimi previsti dalla legge </w:t>
      </w:r>
      <w:r w:rsidR="005459CF" w:rsidRPr="001E7ABF">
        <w:rPr>
          <w:szCs w:val="24"/>
        </w:rPr>
        <w:t>(geotermic</w:t>
      </w:r>
      <w:r w:rsidR="007F439B" w:rsidRPr="001E7ABF">
        <w:rPr>
          <w:szCs w:val="24"/>
        </w:rPr>
        <w:t>o tradizionale con innovazioni)</w:t>
      </w:r>
      <w:r w:rsidRPr="001E7ABF">
        <w:rPr>
          <w:szCs w:val="24"/>
        </w:rPr>
        <w:t>, in modo da promuovere l</w:t>
      </w:r>
      <w:r w:rsidR="0012513F">
        <w:rPr>
          <w:szCs w:val="24"/>
        </w:rPr>
        <w:t xml:space="preserve">’innovazione </w:t>
      </w:r>
      <w:r w:rsidRPr="001E7ABF">
        <w:rPr>
          <w:szCs w:val="24"/>
        </w:rPr>
        <w:t xml:space="preserve">tecnologica </w:t>
      </w:r>
      <w:r w:rsidR="00E925D7" w:rsidRPr="001E7ABF">
        <w:rPr>
          <w:szCs w:val="24"/>
        </w:rPr>
        <w:t xml:space="preserve">e </w:t>
      </w:r>
      <w:r w:rsidR="0012513F">
        <w:rPr>
          <w:szCs w:val="24"/>
        </w:rPr>
        <w:t>conseguentemente il miglioramento dell’impatto</w:t>
      </w:r>
      <w:r w:rsidR="00E925D7" w:rsidRPr="001E7ABF">
        <w:rPr>
          <w:szCs w:val="24"/>
        </w:rPr>
        <w:t xml:space="preserve"> ambientale</w:t>
      </w:r>
      <w:r w:rsidRPr="001E7ABF">
        <w:rPr>
          <w:szCs w:val="24"/>
        </w:rPr>
        <w:t>;</w:t>
      </w:r>
    </w:p>
    <w:p w:rsidR="004F75B7" w:rsidRPr="001E7ABF" w:rsidRDefault="004F75B7" w:rsidP="00F1206E">
      <w:pPr>
        <w:spacing w:before="240" w:after="120"/>
        <w:rPr>
          <w:szCs w:val="24"/>
        </w:rPr>
      </w:pPr>
      <w:r w:rsidRPr="00834C08">
        <w:rPr>
          <w:b/>
          <w:bCs/>
          <w:szCs w:val="24"/>
        </w:rPr>
        <w:t>RITENUTO</w:t>
      </w:r>
      <w:r>
        <w:rPr>
          <w:szCs w:val="24"/>
        </w:rPr>
        <w:t>, per le stesse ragioni sopra espost</w:t>
      </w:r>
      <w:r w:rsidR="00E96F29">
        <w:rPr>
          <w:szCs w:val="24"/>
        </w:rPr>
        <w:t>e</w:t>
      </w:r>
      <w:r>
        <w:rPr>
          <w:szCs w:val="24"/>
        </w:rPr>
        <w:t xml:space="preserve">, di dover prevedere </w:t>
      </w:r>
      <w:r w:rsidR="005B053C">
        <w:rPr>
          <w:szCs w:val="24"/>
        </w:rPr>
        <w:t>incentivi per gli impianti geotermici che prevedono innovazioni sul ciclo termodinamico in modo da garantire l’annullamento delle emissioni in c</w:t>
      </w:r>
      <w:r w:rsidRPr="001E7ABF">
        <w:rPr>
          <w:szCs w:val="24"/>
        </w:rPr>
        <w:t>onform</w:t>
      </w:r>
      <w:r w:rsidR="005B053C">
        <w:rPr>
          <w:szCs w:val="24"/>
        </w:rPr>
        <w:t>ità</w:t>
      </w:r>
      <w:r w:rsidRPr="001E7ABF">
        <w:rPr>
          <w:szCs w:val="24"/>
        </w:rPr>
        <w:t xml:space="preserve"> all’articolo 1, comma 3-</w:t>
      </w:r>
      <w:r w:rsidRPr="001E7ABF">
        <w:rPr>
          <w:i/>
          <w:iCs/>
          <w:szCs w:val="24"/>
        </w:rPr>
        <w:t>bis</w:t>
      </w:r>
      <w:r w:rsidRPr="001E7ABF">
        <w:rPr>
          <w:szCs w:val="24"/>
        </w:rPr>
        <w:t>, del decreto legislativo 11 febbraio 2010, n. 22</w:t>
      </w:r>
      <w:r w:rsidR="005B053C">
        <w:rPr>
          <w:szCs w:val="24"/>
        </w:rPr>
        <w:t>;</w:t>
      </w:r>
    </w:p>
    <w:p w:rsidR="00CE3497" w:rsidRPr="001E7ABF" w:rsidRDefault="00CE3497" w:rsidP="00ED2E35">
      <w:pPr>
        <w:spacing w:before="240" w:after="120"/>
        <w:rPr>
          <w:szCs w:val="24"/>
        </w:rPr>
      </w:pPr>
      <w:r w:rsidRPr="001353CC">
        <w:rPr>
          <w:b/>
          <w:bCs/>
          <w:szCs w:val="24"/>
        </w:rPr>
        <w:t>RITENUTO</w:t>
      </w:r>
      <w:r w:rsidRPr="001353CC">
        <w:rPr>
          <w:szCs w:val="24"/>
        </w:rPr>
        <w:t xml:space="preserve"> di dover prevedere incentivi per </w:t>
      </w:r>
      <w:r w:rsidR="00BB3B86" w:rsidRPr="001353CC">
        <w:rPr>
          <w:szCs w:val="24"/>
        </w:rPr>
        <w:t xml:space="preserve">gli </w:t>
      </w:r>
      <w:r w:rsidRPr="001353CC">
        <w:rPr>
          <w:szCs w:val="24"/>
        </w:rPr>
        <w:t>impianti solari termodinamici di piccole dimension</w:t>
      </w:r>
      <w:r w:rsidR="00F61F87" w:rsidRPr="001353CC">
        <w:rPr>
          <w:szCs w:val="24"/>
        </w:rPr>
        <w:t>i</w:t>
      </w:r>
      <w:r w:rsidRPr="001353CC">
        <w:rPr>
          <w:szCs w:val="24"/>
        </w:rPr>
        <w:t xml:space="preserve">, </w:t>
      </w:r>
      <w:r w:rsidR="00C163D0" w:rsidRPr="001353CC">
        <w:rPr>
          <w:szCs w:val="24"/>
        </w:rPr>
        <w:t xml:space="preserve">meglio </w:t>
      </w:r>
      <w:r w:rsidR="00BB3B86" w:rsidRPr="001353CC">
        <w:rPr>
          <w:szCs w:val="24"/>
        </w:rPr>
        <w:t xml:space="preserve">adattabili alla realtà del territorio nazionale e </w:t>
      </w:r>
      <w:r w:rsidRPr="001353CC">
        <w:rPr>
          <w:szCs w:val="24"/>
        </w:rPr>
        <w:t xml:space="preserve">per </w:t>
      </w:r>
      <w:r w:rsidR="0061380E" w:rsidRPr="001353CC">
        <w:rPr>
          <w:szCs w:val="24"/>
        </w:rPr>
        <w:t>i quali è possibile ipotizzare uno sviluppo</w:t>
      </w:r>
      <w:r w:rsidR="00C163D0" w:rsidRPr="001353CC">
        <w:rPr>
          <w:szCs w:val="24"/>
        </w:rPr>
        <w:t xml:space="preserve"> tecnologico</w:t>
      </w:r>
      <w:r w:rsidR="0061380E" w:rsidRPr="001353CC">
        <w:rPr>
          <w:szCs w:val="24"/>
        </w:rPr>
        <w:t xml:space="preserve"> futuro</w:t>
      </w:r>
      <w:r w:rsidR="008F5075" w:rsidRPr="001353CC">
        <w:rPr>
          <w:szCs w:val="24"/>
        </w:rPr>
        <w:t>,</w:t>
      </w:r>
      <w:r w:rsidR="0061380E" w:rsidRPr="001353CC">
        <w:rPr>
          <w:szCs w:val="24"/>
        </w:rPr>
        <w:t xml:space="preserve"> a fronte di una riduzione dei costi</w:t>
      </w:r>
      <w:r w:rsidR="00617F99" w:rsidRPr="001353CC">
        <w:rPr>
          <w:szCs w:val="24"/>
        </w:rPr>
        <w:t xml:space="preserve"> </w:t>
      </w:r>
      <w:r w:rsidR="00617F99" w:rsidRPr="001353CC">
        <w:rPr>
          <w:szCs w:val="24"/>
          <w:highlight w:val="yellow"/>
        </w:rPr>
        <w:t>XXXX</w:t>
      </w:r>
      <w:r w:rsidR="0061380E" w:rsidRPr="001353CC">
        <w:rPr>
          <w:szCs w:val="24"/>
        </w:rPr>
        <w:t>;</w:t>
      </w:r>
      <w:r w:rsidR="000564E7" w:rsidRPr="000564E7">
        <w:rPr>
          <w:szCs w:val="24"/>
        </w:rPr>
        <w:t xml:space="preserve"> </w:t>
      </w:r>
    </w:p>
    <w:p w:rsidR="005E340E" w:rsidRPr="00815C97" w:rsidRDefault="005E340E" w:rsidP="005E340E">
      <w:pPr>
        <w:spacing w:before="240" w:after="120"/>
        <w:rPr>
          <w:szCs w:val="24"/>
        </w:rPr>
      </w:pPr>
      <w:r w:rsidRPr="006A3132">
        <w:rPr>
          <w:b/>
          <w:bCs/>
          <w:szCs w:val="24"/>
        </w:rPr>
        <w:t>VISTO</w:t>
      </w:r>
      <w:r w:rsidRPr="006A3132">
        <w:rPr>
          <w:szCs w:val="24"/>
        </w:rPr>
        <w:t xml:space="preserve"> il decreto</w:t>
      </w:r>
      <w:r w:rsidR="000A3CD9" w:rsidRPr="006A3132">
        <w:rPr>
          <w:szCs w:val="24"/>
        </w:rPr>
        <w:t xml:space="preserve"> ministeriale </w:t>
      </w:r>
      <w:r w:rsidR="000A3CD9" w:rsidRPr="007A3CB0">
        <w:rPr>
          <w:szCs w:val="24"/>
        </w:rPr>
        <w:t>XXXX</w:t>
      </w:r>
      <w:r w:rsidR="000A3CD9" w:rsidRPr="006A3132">
        <w:rPr>
          <w:szCs w:val="24"/>
        </w:rPr>
        <w:t xml:space="preserve"> recante </w:t>
      </w:r>
      <w:r w:rsidR="004D6780" w:rsidRPr="006A3132">
        <w:rPr>
          <w:szCs w:val="24"/>
        </w:rPr>
        <w:t>“Attuazione del Piano Nazionale di Ripresa e Resilienza (PNRR), Missione</w:t>
      </w:r>
      <w:r w:rsidR="004D6780" w:rsidRPr="0001126B">
        <w:rPr>
          <w:szCs w:val="24"/>
        </w:rPr>
        <w:t xml:space="preserve"> 2, Componente 2 (M2C2), I</w:t>
      </w:r>
      <w:r w:rsidR="004D6780" w:rsidRPr="00EF5DCD">
        <w:rPr>
          <w:szCs w:val="24"/>
        </w:rPr>
        <w:t xml:space="preserve">nvestimento 1.4 - Sviluppo del biometano secondo </w:t>
      </w:r>
      <w:r w:rsidR="004D6780" w:rsidRPr="00301602">
        <w:rPr>
          <w:szCs w:val="24"/>
        </w:rPr>
        <w:t>criteri per la promozione dell’economia circolare</w:t>
      </w:r>
      <w:r w:rsidR="00124941" w:rsidRPr="00301602">
        <w:rPr>
          <w:szCs w:val="24"/>
        </w:rPr>
        <w:t>”</w:t>
      </w:r>
      <w:r w:rsidRPr="006A3132">
        <w:rPr>
          <w:szCs w:val="24"/>
        </w:rPr>
        <w:t>;</w:t>
      </w:r>
    </w:p>
    <w:p w:rsidR="00815C97" w:rsidRPr="007A3CB0" w:rsidRDefault="005E340E" w:rsidP="005E340E">
      <w:pPr>
        <w:spacing w:before="240" w:after="120"/>
        <w:rPr>
          <w:szCs w:val="24"/>
        </w:rPr>
      </w:pPr>
      <w:r w:rsidRPr="007A3CB0">
        <w:rPr>
          <w:b/>
          <w:bCs/>
          <w:szCs w:val="24"/>
        </w:rPr>
        <w:t>RITENUTO</w:t>
      </w:r>
      <w:r w:rsidRPr="007A3CB0">
        <w:rPr>
          <w:szCs w:val="24"/>
        </w:rPr>
        <w:t xml:space="preserve"> che </w:t>
      </w:r>
      <w:r w:rsidR="00301602" w:rsidRPr="007A3CB0">
        <w:rPr>
          <w:szCs w:val="24"/>
        </w:rPr>
        <w:t>la scelta di introdurre</w:t>
      </w:r>
      <w:r w:rsidR="002303E9" w:rsidRPr="007A3CB0">
        <w:rPr>
          <w:szCs w:val="24"/>
        </w:rPr>
        <w:t>, mediante l’adozione del succitato decreto,</w:t>
      </w:r>
      <w:r w:rsidR="00301602" w:rsidRPr="007A3CB0">
        <w:rPr>
          <w:szCs w:val="24"/>
        </w:rPr>
        <w:t xml:space="preserve"> una specifica disciplina per </w:t>
      </w:r>
      <w:r w:rsidR="000F2D61" w:rsidRPr="007A3CB0">
        <w:rPr>
          <w:szCs w:val="24"/>
        </w:rPr>
        <w:t>l’incentivazione di</w:t>
      </w:r>
      <w:r w:rsidRPr="007A3CB0">
        <w:rPr>
          <w:szCs w:val="24"/>
        </w:rPr>
        <w:t xml:space="preserve"> impianti </w:t>
      </w:r>
      <w:r w:rsidR="009D7B51" w:rsidRPr="007A3CB0">
        <w:rPr>
          <w:szCs w:val="24"/>
        </w:rPr>
        <w:t xml:space="preserve">a biogas </w:t>
      </w:r>
      <w:r w:rsidRPr="007A3CB0">
        <w:rPr>
          <w:szCs w:val="24"/>
        </w:rPr>
        <w:t>di taglia medio-grande</w:t>
      </w:r>
      <w:r w:rsidR="00815C97" w:rsidRPr="007A3CB0">
        <w:rPr>
          <w:szCs w:val="24"/>
        </w:rPr>
        <w:t xml:space="preserve"> </w:t>
      </w:r>
      <w:r w:rsidR="000F2D61" w:rsidRPr="007A3CB0">
        <w:rPr>
          <w:szCs w:val="24"/>
        </w:rPr>
        <w:t xml:space="preserve"> </w:t>
      </w:r>
      <w:r w:rsidR="00301602" w:rsidRPr="007A3CB0">
        <w:rPr>
          <w:szCs w:val="24"/>
        </w:rPr>
        <w:t>sia necessaria</w:t>
      </w:r>
      <w:r w:rsidR="00992458" w:rsidRPr="007A3CB0">
        <w:rPr>
          <w:szCs w:val="24"/>
        </w:rPr>
        <w:t xml:space="preserve"> al fine di </w:t>
      </w:r>
      <w:r w:rsidR="00301602" w:rsidRPr="007A3CB0">
        <w:rPr>
          <w:szCs w:val="24"/>
        </w:rPr>
        <w:t>promuove</w:t>
      </w:r>
      <w:r w:rsidR="002303E9" w:rsidRPr="007A3CB0">
        <w:rPr>
          <w:szCs w:val="24"/>
        </w:rPr>
        <w:t>re</w:t>
      </w:r>
      <w:r w:rsidR="00301602" w:rsidRPr="007A3CB0">
        <w:rPr>
          <w:szCs w:val="24"/>
        </w:rPr>
        <w:t xml:space="preserve"> la produzione di </w:t>
      </w:r>
      <w:r w:rsidR="00992458" w:rsidRPr="007A3CB0">
        <w:rPr>
          <w:szCs w:val="24"/>
        </w:rPr>
        <w:t xml:space="preserve">gas da fonti rinnovabili </w:t>
      </w:r>
      <w:r w:rsidR="00301602" w:rsidRPr="007A3CB0">
        <w:rPr>
          <w:szCs w:val="24"/>
        </w:rPr>
        <w:t xml:space="preserve">così contribuendo all’accelerazione </w:t>
      </w:r>
      <w:r w:rsidR="002303E9" w:rsidRPr="007A3CB0">
        <w:rPr>
          <w:szCs w:val="24"/>
        </w:rPr>
        <w:t xml:space="preserve">del </w:t>
      </w:r>
      <w:r w:rsidR="00992458" w:rsidRPr="007A3CB0">
        <w:rPr>
          <w:szCs w:val="24"/>
        </w:rPr>
        <w:t xml:space="preserve">percorso di decarbonizzazione di settori produttivi non facilmente elettrificabili ovvero rientranti </w:t>
      </w:r>
      <w:r w:rsidR="002303E9" w:rsidRPr="007A3CB0">
        <w:rPr>
          <w:szCs w:val="24"/>
        </w:rPr>
        <w:t>t</w:t>
      </w:r>
      <w:r w:rsidR="00992458" w:rsidRPr="007A3CB0">
        <w:rPr>
          <w:szCs w:val="24"/>
        </w:rPr>
        <w:t>ra i c</w:t>
      </w:r>
      <w:r w:rsidR="0094063E" w:rsidRPr="007A3CB0">
        <w:rPr>
          <w:szCs w:val="24"/>
        </w:rPr>
        <w:t>osiddetti</w:t>
      </w:r>
      <w:r w:rsidR="00992458" w:rsidRPr="007A3CB0">
        <w:rPr>
          <w:szCs w:val="24"/>
        </w:rPr>
        <w:t xml:space="preserve"> settori “</w:t>
      </w:r>
      <w:r w:rsidR="00647F0D" w:rsidRPr="007A3CB0">
        <w:rPr>
          <w:i/>
          <w:szCs w:val="24"/>
        </w:rPr>
        <w:t>hard to abate</w:t>
      </w:r>
      <w:r w:rsidR="00647F0D" w:rsidRPr="007A3CB0">
        <w:rPr>
          <w:szCs w:val="24"/>
        </w:rPr>
        <w:t xml:space="preserve">”, nonché </w:t>
      </w:r>
      <w:r w:rsidR="002303E9" w:rsidRPr="007A3CB0">
        <w:rPr>
          <w:szCs w:val="24"/>
        </w:rPr>
        <w:t xml:space="preserve">del </w:t>
      </w:r>
      <w:r w:rsidR="00B12CAE" w:rsidRPr="007A3CB0">
        <w:rPr>
          <w:szCs w:val="24"/>
        </w:rPr>
        <w:t>settore dei trasporti</w:t>
      </w:r>
      <w:r w:rsidR="00F9616A" w:rsidRPr="007A3CB0">
        <w:rPr>
          <w:szCs w:val="24"/>
        </w:rPr>
        <w:t>;</w:t>
      </w:r>
    </w:p>
    <w:p w:rsidR="00D61263" w:rsidRPr="001E7ABF" w:rsidRDefault="00D61263" w:rsidP="00F1206E">
      <w:pPr>
        <w:spacing w:before="240" w:after="120"/>
        <w:rPr>
          <w:szCs w:val="24"/>
        </w:rPr>
      </w:pPr>
      <w:r w:rsidRPr="006A4A67">
        <w:rPr>
          <w:b/>
          <w:bCs/>
          <w:szCs w:val="24"/>
        </w:rPr>
        <w:t>RITENUTO</w:t>
      </w:r>
      <w:r w:rsidRPr="001E7ABF">
        <w:rPr>
          <w:szCs w:val="24"/>
        </w:rPr>
        <w:t xml:space="preserve"> pertanto che </w:t>
      </w:r>
      <w:r w:rsidR="0046070F">
        <w:rPr>
          <w:szCs w:val="24"/>
        </w:rPr>
        <w:t>la produzione di energia elettrica da impianti biogas</w:t>
      </w:r>
      <w:r w:rsidR="0013786B">
        <w:rPr>
          <w:szCs w:val="24"/>
        </w:rPr>
        <w:t xml:space="preserve">, con costi tuttora elevati, </w:t>
      </w:r>
      <w:r w:rsidR="0046070F">
        <w:rPr>
          <w:szCs w:val="24"/>
        </w:rPr>
        <w:t xml:space="preserve">debba </w:t>
      </w:r>
      <w:r w:rsidR="0013786B">
        <w:rPr>
          <w:szCs w:val="24"/>
        </w:rPr>
        <w:t>essere incentivata limitatamente</w:t>
      </w:r>
      <w:r w:rsidR="0046070F">
        <w:rPr>
          <w:szCs w:val="24"/>
        </w:rPr>
        <w:t xml:space="preserve"> ad impianti per i quali la produzione di biometano non sia tecnicamente ed economicamente perseguibile e che</w:t>
      </w:r>
      <w:r w:rsidR="001C39F1">
        <w:rPr>
          <w:szCs w:val="24"/>
        </w:rPr>
        <w:t>, conseguentemente,</w:t>
      </w:r>
      <w:r w:rsidR="0046070F">
        <w:rPr>
          <w:szCs w:val="24"/>
        </w:rPr>
        <w:t xml:space="preserve"> </w:t>
      </w:r>
      <w:r w:rsidRPr="001E7ABF">
        <w:rPr>
          <w:szCs w:val="24"/>
        </w:rPr>
        <w:t xml:space="preserve">con il presente decreto, si debba incentivare la produzione di energia elettrica da </w:t>
      </w:r>
      <w:r w:rsidR="00896BE3" w:rsidRPr="001E7ABF">
        <w:rPr>
          <w:szCs w:val="24"/>
        </w:rPr>
        <w:t xml:space="preserve">impianti a </w:t>
      </w:r>
      <w:r w:rsidRPr="001E7ABF">
        <w:rPr>
          <w:szCs w:val="24"/>
        </w:rPr>
        <w:t xml:space="preserve">biogas </w:t>
      </w:r>
      <w:r w:rsidR="005E2D0A" w:rsidRPr="001E7ABF">
        <w:rPr>
          <w:szCs w:val="24"/>
        </w:rPr>
        <w:t xml:space="preserve">solo se </w:t>
      </w:r>
      <w:r w:rsidR="00896BE3" w:rsidRPr="001E7ABF">
        <w:rPr>
          <w:szCs w:val="24"/>
        </w:rPr>
        <w:t>di piccola taglia</w:t>
      </w:r>
      <w:r w:rsidR="00FB6AA4">
        <w:rPr>
          <w:szCs w:val="24"/>
        </w:rPr>
        <w:t xml:space="preserve"> e riferibili a dimensioni aziendali che non consentano di realizzare la produzione di biometano</w:t>
      </w:r>
      <w:r w:rsidR="00F25991">
        <w:rPr>
          <w:szCs w:val="24"/>
        </w:rPr>
        <w:t>;</w:t>
      </w:r>
    </w:p>
    <w:p w:rsidR="00E925D7" w:rsidRPr="001E7ABF" w:rsidRDefault="00E925D7" w:rsidP="00F1206E">
      <w:pPr>
        <w:spacing w:before="240" w:after="120"/>
        <w:rPr>
          <w:szCs w:val="24"/>
        </w:rPr>
      </w:pPr>
      <w:r w:rsidRPr="002E5BD6">
        <w:rPr>
          <w:b/>
          <w:bCs/>
          <w:szCs w:val="24"/>
        </w:rPr>
        <w:lastRenderedPageBreak/>
        <w:t>RITENUTO</w:t>
      </w:r>
      <w:r w:rsidR="005E340E" w:rsidRPr="001E7ABF">
        <w:rPr>
          <w:szCs w:val="24"/>
        </w:rPr>
        <w:t>,</w:t>
      </w:r>
      <w:r w:rsidR="00CC6880" w:rsidRPr="001E7ABF">
        <w:rPr>
          <w:szCs w:val="24"/>
        </w:rPr>
        <w:t xml:space="preserve"> per quanto riguarda </w:t>
      </w:r>
      <w:r w:rsidR="00106EF2">
        <w:rPr>
          <w:szCs w:val="24"/>
        </w:rPr>
        <w:t xml:space="preserve">gli impianti alimentati da </w:t>
      </w:r>
      <w:r w:rsidR="00056C2F">
        <w:rPr>
          <w:szCs w:val="24"/>
        </w:rPr>
        <w:t>combustibili solidi o gassosi da biomassa</w:t>
      </w:r>
      <w:r w:rsidR="00CC6880" w:rsidRPr="001E7ABF">
        <w:rPr>
          <w:szCs w:val="24"/>
        </w:rPr>
        <w:t>, di dover</w:t>
      </w:r>
      <w:r w:rsidR="00056C2F">
        <w:rPr>
          <w:szCs w:val="24"/>
        </w:rPr>
        <w:t xml:space="preserve"> individuare</w:t>
      </w:r>
      <w:r w:rsidR="003001A4">
        <w:rPr>
          <w:szCs w:val="24"/>
        </w:rPr>
        <w:t xml:space="preserve">, in attuazione delle richiamate disposizioni del decreto legislativo n. 199 del 2021, una serie di </w:t>
      </w:r>
      <w:r w:rsidR="00056C2F">
        <w:rPr>
          <w:szCs w:val="24"/>
        </w:rPr>
        <w:t>condizioni tecnico</w:t>
      </w:r>
      <w:r w:rsidR="003001A4">
        <w:rPr>
          <w:szCs w:val="24"/>
        </w:rPr>
        <w:t>-</w:t>
      </w:r>
      <w:r w:rsidR="00056C2F">
        <w:rPr>
          <w:szCs w:val="24"/>
        </w:rPr>
        <w:t xml:space="preserve">operative che consentano di </w:t>
      </w:r>
      <w:r w:rsidR="00C52CE0">
        <w:rPr>
          <w:szCs w:val="24"/>
        </w:rPr>
        <w:t>raggiungere livelli di prestazion</w:t>
      </w:r>
      <w:r w:rsidR="00124941">
        <w:rPr>
          <w:szCs w:val="24"/>
        </w:rPr>
        <w:t>e</w:t>
      </w:r>
      <w:r w:rsidR="00C52CE0">
        <w:rPr>
          <w:szCs w:val="24"/>
        </w:rPr>
        <w:t xml:space="preserve"> di riduzione delle </w:t>
      </w:r>
      <w:r w:rsidR="00F70CEB">
        <w:rPr>
          <w:szCs w:val="24"/>
        </w:rPr>
        <w:t>e</w:t>
      </w:r>
      <w:r w:rsidR="00C52CE0">
        <w:rPr>
          <w:szCs w:val="24"/>
        </w:rPr>
        <w:t>missioni</w:t>
      </w:r>
      <w:r w:rsidR="003001A4">
        <w:rPr>
          <w:szCs w:val="24"/>
        </w:rPr>
        <w:t xml:space="preserve"> </w:t>
      </w:r>
      <w:r w:rsidR="00C52CE0">
        <w:rPr>
          <w:szCs w:val="24"/>
        </w:rPr>
        <w:t>comparabil</w:t>
      </w:r>
      <w:r w:rsidR="003001A4">
        <w:rPr>
          <w:szCs w:val="24"/>
        </w:rPr>
        <w:t xml:space="preserve">i a quelle </w:t>
      </w:r>
      <w:r w:rsidR="00F70CEB">
        <w:rPr>
          <w:szCs w:val="24"/>
        </w:rPr>
        <w:t xml:space="preserve">previste </w:t>
      </w:r>
      <w:r w:rsidR="00F84917">
        <w:rPr>
          <w:szCs w:val="24"/>
        </w:rPr>
        <w:t xml:space="preserve">per gli impianti di taglia maggiore, </w:t>
      </w:r>
      <w:r w:rsidR="00EA2393">
        <w:rPr>
          <w:szCs w:val="24"/>
        </w:rPr>
        <w:t>prevedendo, in particolare, il rispetto di requisiti</w:t>
      </w:r>
      <w:r w:rsidR="00F84917">
        <w:rPr>
          <w:szCs w:val="24"/>
        </w:rPr>
        <w:t xml:space="preserve"> costruttiv</w:t>
      </w:r>
      <w:r w:rsidR="00EA2393">
        <w:rPr>
          <w:szCs w:val="24"/>
        </w:rPr>
        <w:t>i</w:t>
      </w:r>
      <w:r w:rsidR="00F84917">
        <w:rPr>
          <w:szCs w:val="24"/>
        </w:rPr>
        <w:t xml:space="preserve"> e di funzionamento, quali la coperture delle vasche di digestione o l’utilizzo del calore </w:t>
      </w:r>
      <w:r w:rsidR="009400E1">
        <w:rPr>
          <w:szCs w:val="24"/>
        </w:rPr>
        <w:t xml:space="preserve">di scarto, nonché </w:t>
      </w:r>
      <w:r w:rsidR="00AE2F10">
        <w:rPr>
          <w:szCs w:val="24"/>
        </w:rPr>
        <w:t>il rispetto di</w:t>
      </w:r>
      <w:r w:rsidR="009400E1">
        <w:rPr>
          <w:szCs w:val="24"/>
        </w:rPr>
        <w:t xml:space="preserve"> </w:t>
      </w:r>
      <w:r w:rsidR="00812D14" w:rsidRPr="007A3CB0">
        <w:rPr>
          <w:i/>
          <w:iCs/>
          <w:szCs w:val="24"/>
        </w:rPr>
        <w:t>mix</w:t>
      </w:r>
      <w:r w:rsidR="00812D14">
        <w:rPr>
          <w:szCs w:val="24"/>
        </w:rPr>
        <w:t xml:space="preserve"> di </w:t>
      </w:r>
      <w:r w:rsidR="00AE2F10">
        <w:rPr>
          <w:szCs w:val="24"/>
        </w:rPr>
        <w:t xml:space="preserve">biomasse </w:t>
      </w:r>
      <w:r w:rsidR="00FB04BF">
        <w:rPr>
          <w:szCs w:val="24"/>
        </w:rPr>
        <w:t>per l’</w:t>
      </w:r>
      <w:r w:rsidR="00812D14">
        <w:rPr>
          <w:szCs w:val="24"/>
        </w:rPr>
        <w:t>alimentazione</w:t>
      </w:r>
      <w:r w:rsidR="00FB04BF">
        <w:rPr>
          <w:szCs w:val="24"/>
        </w:rPr>
        <w:t xml:space="preserve"> degli impianti che garantiscano </w:t>
      </w:r>
      <w:r w:rsidR="009D0CD2">
        <w:rPr>
          <w:szCs w:val="24"/>
        </w:rPr>
        <w:t>una significativa</w:t>
      </w:r>
      <w:r w:rsidR="00812D14">
        <w:rPr>
          <w:szCs w:val="24"/>
        </w:rPr>
        <w:t xml:space="preserve"> riduzione delle emissioni; </w:t>
      </w:r>
    </w:p>
    <w:p w:rsidR="00BC240C" w:rsidRPr="001E7ABF" w:rsidRDefault="00BC240C" w:rsidP="00F1206E">
      <w:pPr>
        <w:spacing w:before="240" w:after="120"/>
        <w:rPr>
          <w:szCs w:val="24"/>
        </w:rPr>
      </w:pPr>
      <w:r w:rsidRPr="006A3132">
        <w:rPr>
          <w:b/>
          <w:bCs/>
          <w:szCs w:val="24"/>
        </w:rPr>
        <w:t>RITENUTO</w:t>
      </w:r>
      <w:r w:rsidRPr="006A3132">
        <w:rPr>
          <w:szCs w:val="24"/>
        </w:rPr>
        <w:t xml:space="preserve"> non opportuno incentivare </w:t>
      </w:r>
      <w:r w:rsidR="00952856" w:rsidRPr="006A3132">
        <w:rPr>
          <w:szCs w:val="24"/>
        </w:rPr>
        <w:t>la produzione di energia da</w:t>
      </w:r>
      <w:r w:rsidRPr="006A3132">
        <w:rPr>
          <w:szCs w:val="24"/>
        </w:rPr>
        <w:t xml:space="preserve"> rifiuti di cui all’articolo 8, comma 4, lettere c) e d), del </w:t>
      </w:r>
      <w:r w:rsidR="00A32074" w:rsidRPr="006A3132">
        <w:rPr>
          <w:szCs w:val="24"/>
        </w:rPr>
        <w:t>DM</w:t>
      </w:r>
      <w:r w:rsidRPr="0001126B">
        <w:rPr>
          <w:szCs w:val="24"/>
        </w:rPr>
        <w:t xml:space="preserve"> 23 giugno 2016, alla luce degli obiettivi in materia di </w:t>
      </w:r>
      <w:r w:rsidR="00D536C0" w:rsidRPr="00EF5DCD">
        <w:rPr>
          <w:szCs w:val="24"/>
        </w:rPr>
        <w:t>economia</w:t>
      </w:r>
      <w:r w:rsidRPr="00EF5DCD">
        <w:rPr>
          <w:szCs w:val="24"/>
        </w:rPr>
        <w:t xml:space="preserve"> circolare</w:t>
      </w:r>
      <w:r w:rsidR="009105E2" w:rsidRPr="00EF5DCD">
        <w:rPr>
          <w:szCs w:val="24"/>
        </w:rPr>
        <w:t xml:space="preserve"> di cui, in particolare, alle direttive (UE) 2018/850, 2018/851 e 2018/852, nonché del</w:t>
      </w:r>
      <w:r w:rsidR="00124941" w:rsidRPr="006A3132">
        <w:rPr>
          <w:szCs w:val="24"/>
        </w:rPr>
        <w:t>la Comunicazione della Commissione COM (2020) 98 def.</w:t>
      </w:r>
      <w:r w:rsidR="009105E2" w:rsidRPr="006A3132">
        <w:rPr>
          <w:szCs w:val="24"/>
        </w:rPr>
        <w:t xml:space="preserve"> </w:t>
      </w:r>
      <w:r w:rsidR="00D56081" w:rsidRPr="006A3132">
        <w:rPr>
          <w:szCs w:val="24"/>
        </w:rPr>
        <w:t>“</w:t>
      </w:r>
      <w:r w:rsidR="00124941" w:rsidRPr="006A3132">
        <w:rPr>
          <w:szCs w:val="24"/>
        </w:rPr>
        <w:t>Un nuovo piano d</w:t>
      </w:r>
      <w:r w:rsidR="00D56081" w:rsidRPr="006A3132">
        <w:rPr>
          <w:szCs w:val="24"/>
        </w:rPr>
        <w:t>’</w:t>
      </w:r>
      <w:r w:rsidR="00124941" w:rsidRPr="006A3132">
        <w:rPr>
          <w:szCs w:val="24"/>
        </w:rPr>
        <w:t>azione per l</w:t>
      </w:r>
      <w:r w:rsidR="00D56081" w:rsidRPr="006A3132">
        <w:rPr>
          <w:szCs w:val="24"/>
        </w:rPr>
        <w:t>’</w:t>
      </w:r>
      <w:r w:rsidR="00124941" w:rsidRPr="006A3132">
        <w:rPr>
          <w:szCs w:val="24"/>
        </w:rPr>
        <w:t xml:space="preserve">economia circolare </w:t>
      </w:r>
      <w:r w:rsidR="00D56081" w:rsidRPr="006A3132">
        <w:rPr>
          <w:szCs w:val="24"/>
        </w:rPr>
        <w:t xml:space="preserve">– </w:t>
      </w:r>
      <w:r w:rsidR="00124941" w:rsidRPr="006A3132">
        <w:rPr>
          <w:szCs w:val="24"/>
        </w:rPr>
        <w:t>Per un</w:t>
      </w:r>
      <w:r w:rsidR="00D56081" w:rsidRPr="006A3132">
        <w:rPr>
          <w:szCs w:val="24"/>
        </w:rPr>
        <w:t>’</w:t>
      </w:r>
      <w:r w:rsidR="00124941" w:rsidRPr="006A3132">
        <w:rPr>
          <w:szCs w:val="24"/>
        </w:rPr>
        <w:t>Europa più pulita e più competitiva</w:t>
      </w:r>
      <w:r w:rsidR="00D56081" w:rsidRPr="006A3132">
        <w:rPr>
          <w:szCs w:val="24"/>
        </w:rPr>
        <w:t>”</w:t>
      </w:r>
      <w:r w:rsidRPr="006A3132">
        <w:rPr>
          <w:szCs w:val="24"/>
        </w:rPr>
        <w:t>;</w:t>
      </w:r>
      <w:r w:rsidRPr="001E7ABF">
        <w:rPr>
          <w:szCs w:val="24"/>
        </w:rPr>
        <w:t xml:space="preserve"> </w:t>
      </w:r>
    </w:p>
    <w:p w:rsidR="008D0D7B" w:rsidRDefault="00975EF7" w:rsidP="002A16C3">
      <w:pPr>
        <w:spacing w:before="240"/>
        <w:rPr>
          <w:bCs/>
          <w:szCs w:val="24"/>
        </w:rPr>
      </w:pPr>
      <w:r w:rsidRPr="002E5BD6">
        <w:rPr>
          <w:b/>
          <w:szCs w:val="24"/>
        </w:rPr>
        <w:t>CONSIDERATO</w:t>
      </w:r>
      <w:r w:rsidR="001417FD" w:rsidRPr="001E7ABF">
        <w:rPr>
          <w:bCs/>
          <w:szCs w:val="24"/>
        </w:rPr>
        <w:t xml:space="preserve"> </w:t>
      </w:r>
      <w:r w:rsidR="00C62DEC">
        <w:rPr>
          <w:bCs/>
          <w:szCs w:val="24"/>
        </w:rPr>
        <w:t>che</w:t>
      </w:r>
      <w:r w:rsidR="00E52FD3">
        <w:rPr>
          <w:bCs/>
          <w:szCs w:val="24"/>
        </w:rPr>
        <w:t xml:space="preserve">, per </w:t>
      </w:r>
      <w:r>
        <w:rPr>
          <w:bCs/>
          <w:szCs w:val="24"/>
        </w:rPr>
        <w:t>quanto riguarda i meccanismi e le procedure di accesso agli ince</w:t>
      </w:r>
      <w:r w:rsidR="009618AB">
        <w:rPr>
          <w:bCs/>
          <w:szCs w:val="24"/>
        </w:rPr>
        <w:t xml:space="preserve">ntivi, alla luce </w:t>
      </w:r>
      <w:r w:rsidR="000A3CD9">
        <w:rPr>
          <w:bCs/>
          <w:szCs w:val="24"/>
        </w:rPr>
        <w:t>delle richiamate</w:t>
      </w:r>
      <w:r w:rsidR="009618AB">
        <w:rPr>
          <w:bCs/>
          <w:szCs w:val="24"/>
        </w:rPr>
        <w:t xml:space="preserve"> disposizioni del decreto legislativo n. </w:t>
      </w:r>
      <w:r w:rsidR="00C75DE4">
        <w:rPr>
          <w:bCs/>
          <w:szCs w:val="24"/>
        </w:rPr>
        <w:t>199</w:t>
      </w:r>
      <w:r w:rsidR="009618AB">
        <w:rPr>
          <w:bCs/>
          <w:szCs w:val="24"/>
        </w:rPr>
        <w:t xml:space="preserve"> del 2021</w:t>
      </w:r>
      <w:r w:rsidR="00AD7463">
        <w:rPr>
          <w:bCs/>
          <w:szCs w:val="24"/>
        </w:rPr>
        <w:t>,</w:t>
      </w:r>
      <w:r w:rsidR="00C62DEC">
        <w:rPr>
          <w:bCs/>
          <w:szCs w:val="24"/>
        </w:rPr>
        <w:t xml:space="preserve"> sia necessario </w:t>
      </w:r>
      <w:r w:rsidR="008D0D7B">
        <w:rPr>
          <w:bCs/>
          <w:szCs w:val="24"/>
        </w:rPr>
        <w:t xml:space="preserve">stimolare una riduzione progressiva dei costi, al fine di </w:t>
      </w:r>
      <w:r w:rsidR="00F470EC">
        <w:rPr>
          <w:bCs/>
          <w:szCs w:val="24"/>
        </w:rPr>
        <w:t>portare le tecnologie</w:t>
      </w:r>
      <w:r w:rsidR="009618AB">
        <w:rPr>
          <w:bCs/>
          <w:szCs w:val="24"/>
        </w:rPr>
        <w:t xml:space="preserve">, nel periodo di vigenza quinquennale, </w:t>
      </w:r>
      <w:r w:rsidR="00F470EC">
        <w:rPr>
          <w:bCs/>
          <w:szCs w:val="24"/>
        </w:rPr>
        <w:t>verso una progressiva competitività di mercato;</w:t>
      </w:r>
    </w:p>
    <w:p w:rsidR="004012D3" w:rsidRPr="001E7ABF" w:rsidRDefault="00F470EC" w:rsidP="00F470EC">
      <w:pPr>
        <w:spacing w:before="240"/>
        <w:rPr>
          <w:bCs/>
          <w:szCs w:val="24"/>
        </w:rPr>
      </w:pPr>
      <w:r w:rsidRPr="002E5BD6">
        <w:rPr>
          <w:b/>
          <w:szCs w:val="24"/>
        </w:rPr>
        <w:t>RITENUTO</w:t>
      </w:r>
      <w:r>
        <w:rPr>
          <w:bCs/>
          <w:szCs w:val="24"/>
        </w:rPr>
        <w:t xml:space="preserve">, </w:t>
      </w:r>
      <w:r w:rsidR="001417FD" w:rsidRPr="001E7ABF">
        <w:rPr>
          <w:bCs/>
          <w:szCs w:val="24"/>
        </w:rPr>
        <w:t>alla luce dell</w:t>
      </w:r>
      <w:r>
        <w:rPr>
          <w:bCs/>
          <w:szCs w:val="24"/>
        </w:rPr>
        <w:t>e</w:t>
      </w:r>
      <w:r w:rsidR="001417FD" w:rsidRPr="001E7ABF">
        <w:rPr>
          <w:bCs/>
          <w:szCs w:val="24"/>
        </w:rPr>
        <w:t xml:space="preserve"> </w:t>
      </w:r>
      <w:r>
        <w:rPr>
          <w:bCs/>
          <w:szCs w:val="24"/>
        </w:rPr>
        <w:t>precedenti considerazioni, d</w:t>
      </w:r>
      <w:r w:rsidR="001F4FED" w:rsidRPr="001E7ABF">
        <w:rPr>
          <w:bCs/>
          <w:szCs w:val="24"/>
        </w:rPr>
        <w:t xml:space="preserve">i </w:t>
      </w:r>
      <w:r w:rsidR="0033482F">
        <w:rPr>
          <w:bCs/>
          <w:szCs w:val="24"/>
        </w:rPr>
        <w:t>prevedere procedure competitive nell</w:t>
      </w:r>
      <w:r w:rsidR="00A32074">
        <w:rPr>
          <w:bCs/>
          <w:szCs w:val="24"/>
        </w:rPr>
        <w:t>e</w:t>
      </w:r>
      <w:r w:rsidR="0033482F">
        <w:rPr>
          <w:bCs/>
          <w:szCs w:val="24"/>
        </w:rPr>
        <w:t xml:space="preserve"> quali è richiesta </w:t>
      </w:r>
      <w:r>
        <w:rPr>
          <w:bCs/>
          <w:szCs w:val="24"/>
        </w:rPr>
        <w:t xml:space="preserve">a tutti gli impianti </w:t>
      </w:r>
      <w:r w:rsidR="0033482F">
        <w:rPr>
          <w:bCs/>
          <w:szCs w:val="24"/>
        </w:rPr>
        <w:t xml:space="preserve">una riduzione percentuale della tariffa </w:t>
      </w:r>
      <w:r w:rsidR="00192440">
        <w:rPr>
          <w:bCs/>
          <w:szCs w:val="24"/>
        </w:rPr>
        <w:t>di riferimento, al fine di stimolare la predetta riduzione dei costi</w:t>
      </w:r>
      <w:r w:rsidR="001F4FED" w:rsidRPr="001E7ABF">
        <w:rPr>
          <w:bCs/>
          <w:szCs w:val="24"/>
        </w:rPr>
        <w:t>;</w:t>
      </w:r>
    </w:p>
    <w:p w:rsidR="00962160" w:rsidRDefault="00962160" w:rsidP="002A16C3">
      <w:pPr>
        <w:spacing w:before="240" w:after="120"/>
        <w:rPr>
          <w:szCs w:val="24"/>
        </w:rPr>
      </w:pPr>
      <w:r>
        <w:rPr>
          <w:b/>
          <w:bCs/>
          <w:szCs w:val="24"/>
        </w:rPr>
        <w:t xml:space="preserve">CONSIDERATO </w:t>
      </w:r>
      <w:r w:rsidRPr="00962160">
        <w:rPr>
          <w:szCs w:val="24"/>
        </w:rPr>
        <w:t>che</w:t>
      </w:r>
      <w:r>
        <w:rPr>
          <w:b/>
          <w:bCs/>
          <w:szCs w:val="24"/>
        </w:rPr>
        <w:t xml:space="preserve"> </w:t>
      </w:r>
      <w:r>
        <w:rPr>
          <w:szCs w:val="24"/>
        </w:rPr>
        <w:t xml:space="preserve">si è in presenza di tecnologie con </w:t>
      </w:r>
      <w:r w:rsidRPr="001E7ABF">
        <w:rPr>
          <w:szCs w:val="24"/>
        </w:rPr>
        <w:t>diverse strutture di costo, diverso grado di maturità tecnica, nonché diversi tempi di sviluppo e realizzazione</w:t>
      </w:r>
      <w:r>
        <w:rPr>
          <w:szCs w:val="24"/>
        </w:rPr>
        <w:t>;</w:t>
      </w:r>
    </w:p>
    <w:p w:rsidR="00BA51A6" w:rsidRPr="001E7ABF" w:rsidRDefault="00962160" w:rsidP="002A16C3">
      <w:pPr>
        <w:spacing w:before="240" w:after="120"/>
        <w:rPr>
          <w:szCs w:val="24"/>
        </w:rPr>
      </w:pPr>
      <w:r w:rsidRPr="00C7095C">
        <w:rPr>
          <w:b/>
          <w:bCs/>
          <w:szCs w:val="24"/>
        </w:rPr>
        <w:t>RITENUTO</w:t>
      </w:r>
      <w:r>
        <w:rPr>
          <w:szCs w:val="24"/>
        </w:rPr>
        <w:t xml:space="preserve"> </w:t>
      </w:r>
      <w:r w:rsidRPr="001E7ABF">
        <w:rPr>
          <w:szCs w:val="24"/>
        </w:rPr>
        <w:t>che lo svolgimento di aste tecnologicamente neutre avrebbe</w:t>
      </w:r>
      <w:r w:rsidR="00A32074">
        <w:rPr>
          <w:szCs w:val="24"/>
        </w:rPr>
        <w:t>,</w:t>
      </w:r>
      <w:r>
        <w:rPr>
          <w:szCs w:val="24"/>
        </w:rPr>
        <w:t xml:space="preserve"> pertanto</w:t>
      </w:r>
      <w:r w:rsidR="00A32074">
        <w:rPr>
          <w:szCs w:val="24"/>
        </w:rPr>
        <w:t>,</w:t>
      </w:r>
      <w:r w:rsidRPr="001E7ABF">
        <w:rPr>
          <w:szCs w:val="24"/>
        </w:rPr>
        <w:t xml:space="preserve"> un esito non ottima</w:t>
      </w:r>
      <w:r>
        <w:rPr>
          <w:szCs w:val="24"/>
        </w:rPr>
        <w:t>l</w:t>
      </w:r>
      <w:r w:rsidR="00432F3F">
        <w:rPr>
          <w:szCs w:val="24"/>
        </w:rPr>
        <w:t>e e</w:t>
      </w:r>
      <w:r>
        <w:rPr>
          <w:szCs w:val="24"/>
        </w:rPr>
        <w:t xml:space="preserve"> </w:t>
      </w:r>
      <w:r w:rsidR="00566A8D">
        <w:rPr>
          <w:szCs w:val="24"/>
        </w:rPr>
        <w:t>condurrebbe</w:t>
      </w:r>
      <w:r w:rsidR="004A5F5A" w:rsidRPr="001E7ABF">
        <w:rPr>
          <w:szCs w:val="24"/>
        </w:rPr>
        <w:t xml:space="preserve"> all</w:t>
      </w:r>
      <w:r w:rsidR="00566A8D">
        <w:rPr>
          <w:szCs w:val="24"/>
        </w:rPr>
        <w:t>’</w:t>
      </w:r>
      <w:r w:rsidR="004A5F5A" w:rsidRPr="001E7ABF">
        <w:rPr>
          <w:szCs w:val="24"/>
        </w:rPr>
        <w:t>esclusione dalle graduatorie di alcune tecnologie</w:t>
      </w:r>
      <w:r w:rsidR="00432F3F">
        <w:rPr>
          <w:szCs w:val="24"/>
        </w:rPr>
        <w:t xml:space="preserve">, non consentendo </w:t>
      </w:r>
      <w:r w:rsidR="000A017D">
        <w:rPr>
          <w:szCs w:val="24"/>
        </w:rPr>
        <w:t xml:space="preserve">di fornire occasioni di sviluppo tecnologico </w:t>
      </w:r>
      <w:r w:rsidR="00DE65CF">
        <w:rPr>
          <w:szCs w:val="24"/>
        </w:rPr>
        <w:t xml:space="preserve">e </w:t>
      </w:r>
      <w:r w:rsidR="00432F3F">
        <w:rPr>
          <w:szCs w:val="24"/>
        </w:rPr>
        <w:t>sfruttamento</w:t>
      </w:r>
      <w:r w:rsidR="00DE65CF">
        <w:rPr>
          <w:szCs w:val="24"/>
        </w:rPr>
        <w:t xml:space="preserve"> de</w:t>
      </w:r>
      <w:r w:rsidR="004A5F5A">
        <w:rPr>
          <w:szCs w:val="24"/>
        </w:rPr>
        <w:t>l relativo potenziale</w:t>
      </w:r>
      <w:r w:rsidR="00CF2367" w:rsidRPr="001E7ABF">
        <w:rPr>
          <w:szCs w:val="24"/>
        </w:rPr>
        <w:t>;</w:t>
      </w:r>
    </w:p>
    <w:p w:rsidR="009105E2" w:rsidRPr="001E7ABF" w:rsidRDefault="009105E2" w:rsidP="004012D3">
      <w:pPr>
        <w:spacing w:after="120"/>
        <w:rPr>
          <w:bCs/>
          <w:szCs w:val="24"/>
        </w:rPr>
      </w:pPr>
      <w:r w:rsidRPr="002E5BD6">
        <w:rPr>
          <w:b/>
          <w:bCs/>
          <w:szCs w:val="24"/>
        </w:rPr>
        <w:t>RITENUTO</w:t>
      </w:r>
      <w:r w:rsidRPr="001E7ABF">
        <w:rPr>
          <w:szCs w:val="24"/>
        </w:rPr>
        <w:t>,</w:t>
      </w:r>
      <w:r w:rsidR="00962160">
        <w:rPr>
          <w:szCs w:val="24"/>
        </w:rPr>
        <w:t xml:space="preserve"> pertanto</w:t>
      </w:r>
      <w:r w:rsidR="005D3EC3">
        <w:rPr>
          <w:szCs w:val="24"/>
        </w:rPr>
        <w:t>,</w:t>
      </w:r>
      <w:r w:rsidRPr="001E7ABF">
        <w:rPr>
          <w:szCs w:val="24"/>
        </w:rPr>
        <w:t xml:space="preserve"> di dover fare ricorso a procedure </w:t>
      </w:r>
      <w:r w:rsidR="0019166A">
        <w:rPr>
          <w:szCs w:val="24"/>
        </w:rPr>
        <w:t xml:space="preserve">con contingenti </w:t>
      </w:r>
      <w:r w:rsidR="00EE1A60">
        <w:rPr>
          <w:szCs w:val="24"/>
        </w:rPr>
        <w:t xml:space="preserve">che </w:t>
      </w:r>
      <w:r w:rsidR="00F4435E">
        <w:rPr>
          <w:szCs w:val="24"/>
        </w:rPr>
        <w:t>accorpano</w:t>
      </w:r>
      <w:r w:rsidR="00EE1A60">
        <w:rPr>
          <w:szCs w:val="24"/>
        </w:rPr>
        <w:t xml:space="preserve"> solo parzialmente le diverse tecnologie</w:t>
      </w:r>
      <w:r w:rsidRPr="001E7ABF">
        <w:rPr>
          <w:szCs w:val="24"/>
        </w:rPr>
        <w:t>;</w:t>
      </w:r>
    </w:p>
    <w:p w:rsidR="00252199" w:rsidRPr="001E7ABF" w:rsidRDefault="000C1B56" w:rsidP="00252199">
      <w:pPr>
        <w:spacing w:before="240" w:after="120"/>
        <w:rPr>
          <w:bCs/>
          <w:szCs w:val="24"/>
        </w:rPr>
      </w:pPr>
      <w:r w:rsidRPr="002E5BD6">
        <w:rPr>
          <w:b/>
          <w:szCs w:val="24"/>
        </w:rPr>
        <w:t>RITENUTO</w:t>
      </w:r>
      <w:r w:rsidRPr="001E7ABF">
        <w:rPr>
          <w:bCs/>
          <w:szCs w:val="24"/>
        </w:rPr>
        <w:t xml:space="preserve"> </w:t>
      </w:r>
      <w:r w:rsidR="00252199" w:rsidRPr="001E7ABF">
        <w:rPr>
          <w:bCs/>
          <w:szCs w:val="24"/>
        </w:rPr>
        <w:t xml:space="preserve">di dover introdurre contingenti di potenza </w:t>
      </w:r>
      <w:r w:rsidR="00C05852" w:rsidRPr="001E7ABF">
        <w:rPr>
          <w:bCs/>
          <w:szCs w:val="24"/>
        </w:rPr>
        <w:t xml:space="preserve">coerenti </w:t>
      </w:r>
      <w:r w:rsidRPr="001E7ABF">
        <w:rPr>
          <w:bCs/>
          <w:szCs w:val="24"/>
        </w:rPr>
        <w:t xml:space="preserve">sia </w:t>
      </w:r>
      <w:r w:rsidR="00C05852" w:rsidRPr="001E7ABF">
        <w:rPr>
          <w:bCs/>
          <w:szCs w:val="24"/>
        </w:rPr>
        <w:t xml:space="preserve">con i potenziali di sviluppo delle diverse </w:t>
      </w:r>
      <w:r w:rsidRPr="001E7ABF">
        <w:rPr>
          <w:bCs/>
          <w:szCs w:val="24"/>
        </w:rPr>
        <w:t>tecnologie</w:t>
      </w:r>
      <w:r w:rsidR="00C05852" w:rsidRPr="001E7ABF">
        <w:rPr>
          <w:bCs/>
          <w:szCs w:val="24"/>
        </w:rPr>
        <w:t xml:space="preserve"> </w:t>
      </w:r>
      <w:r w:rsidRPr="001E7ABF">
        <w:rPr>
          <w:bCs/>
          <w:szCs w:val="24"/>
        </w:rPr>
        <w:t>nel periodo coperto dal presente decreto, sia</w:t>
      </w:r>
      <w:r w:rsidR="00C05852" w:rsidRPr="001E7ABF">
        <w:rPr>
          <w:bCs/>
          <w:szCs w:val="24"/>
        </w:rPr>
        <w:t xml:space="preserve"> </w:t>
      </w:r>
      <w:r w:rsidR="004A7F8D" w:rsidRPr="001E7ABF">
        <w:rPr>
          <w:bCs/>
          <w:szCs w:val="24"/>
        </w:rPr>
        <w:t xml:space="preserve">con la necessità di evitare eccessivi aggravi sulle tariffe elettriche, comunque </w:t>
      </w:r>
      <w:r w:rsidR="00252199" w:rsidRPr="001E7ABF">
        <w:rPr>
          <w:bCs/>
          <w:szCs w:val="24"/>
        </w:rPr>
        <w:t xml:space="preserve">tali da consentire una produzione aggiuntiva di energia da fonte rinnovabile stimabile in </w:t>
      </w:r>
      <w:r w:rsidR="007326EC">
        <w:rPr>
          <w:bCs/>
          <w:szCs w:val="24"/>
          <w:highlight w:val="yellow"/>
        </w:rPr>
        <w:t>XX</w:t>
      </w:r>
      <w:r w:rsidR="0004668F" w:rsidRPr="0084005D">
        <w:rPr>
          <w:bCs/>
          <w:szCs w:val="24"/>
          <w:highlight w:val="yellow"/>
        </w:rPr>
        <w:t xml:space="preserve"> </w:t>
      </w:r>
      <w:r w:rsidR="00252199" w:rsidRPr="0084005D">
        <w:rPr>
          <w:bCs/>
          <w:szCs w:val="24"/>
          <w:highlight w:val="yellow"/>
        </w:rPr>
        <w:t>TWh;</w:t>
      </w:r>
    </w:p>
    <w:p w:rsidR="00D83AD2" w:rsidRPr="001E7ABF" w:rsidRDefault="00D83AD2" w:rsidP="006E68B5">
      <w:pPr>
        <w:spacing w:before="240" w:after="120"/>
        <w:rPr>
          <w:bCs/>
          <w:szCs w:val="24"/>
        </w:rPr>
      </w:pPr>
      <w:r w:rsidRPr="002E5BD6">
        <w:rPr>
          <w:b/>
          <w:szCs w:val="24"/>
        </w:rPr>
        <w:t>RITENUTO</w:t>
      </w:r>
      <w:r w:rsidRPr="001E7ABF">
        <w:rPr>
          <w:bCs/>
          <w:szCs w:val="24"/>
        </w:rPr>
        <w:t xml:space="preserve"> opportuno che, fatti salvi </w:t>
      </w:r>
      <w:r w:rsidR="00DA4052">
        <w:rPr>
          <w:bCs/>
          <w:szCs w:val="24"/>
        </w:rPr>
        <w:t xml:space="preserve">i piccoli </w:t>
      </w:r>
      <w:r w:rsidRPr="001E7ABF">
        <w:rPr>
          <w:bCs/>
          <w:szCs w:val="24"/>
        </w:rPr>
        <w:t>impianti</w:t>
      </w:r>
      <w:r w:rsidR="00DA4052">
        <w:rPr>
          <w:bCs/>
          <w:szCs w:val="24"/>
        </w:rPr>
        <w:t xml:space="preserve"> con potenza non superiore a 250 kW</w:t>
      </w:r>
      <w:r w:rsidRPr="001E7ABF">
        <w:rPr>
          <w:bCs/>
          <w:szCs w:val="24"/>
        </w:rPr>
        <w:t xml:space="preserve"> che optano per la tariffa onnicomprensiva, le tariffe siano del tipo “a due vie”, per cui si riconosce al produttore la differenza tra la tariffa spettante determinata con il presente decreto e il prezzo dell’energia elettrica zonale orario laddove tale differenza sia positiva, mentre, nel caso in cui la stessa differenza risulti negativa, il produttore è tenuto a restituire la differenza;</w:t>
      </w:r>
    </w:p>
    <w:p w:rsidR="00C63F55" w:rsidRPr="001E7ABF" w:rsidRDefault="00D83AD2" w:rsidP="006E68B5">
      <w:pPr>
        <w:spacing w:before="240" w:after="120"/>
        <w:rPr>
          <w:szCs w:val="24"/>
        </w:rPr>
      </w:pPr>
      <w:r w:rsidRPr="002E5BD6">
        <w:rPr>
          <w:b/>
          <w:bCs/>
          <w:szCs w:val="24"/>
        </w:rPr>
        <w:t>RITENUTO</w:t>
      </w:r>
      <w:r w:rsidRPr="001E7ABF">
        <w:rPr>
          <w:szCs w:val="24"/>
        </w:rPr>
        <w:t xml:space="preserve"> opportuno</w:t>
      </w:r>
      <w:r w:rsidR="00915817">
        <w:rPr>
          <w:szCs w:val="24"/>
        </w:rPr>
        <w:t xml:space="preserve"> introdurre </w:t>
      </w:r>
      <w:r w:rsidR="00E8233E">
        <w:rPr>
          <w:szCs w:val="24"/>
        </w:rPr>
        <w:t>semplificazioni nella procedura di accesso agli incentivi</w:t>
      </w:r>
      <w:r w:rsidR="00922D96" w:rsidRPr="001E7ABF">
        <w:rPr>
          <w:szCs w:val="24"/>
        </w:rPr>
        <w:t>;</w:t>
      </w:r>
    </w:p>
    <w:p w:rsidR="008E0107" w:rsidRPr="001E7ABF" w:rsidRDefault="008E0107" w:rsidP="006E68B5">
      <w:pPr>
        <w:spacing w:before="240" w:after="120"/>
        <w:rPr>
          <w:szCs w:val="24"/>
        </w:rPr>
      </w:pPr>
      <w:r w:rsidRPr="002E5BD6">
        <w:rPr>
          <w:b/>
          <w:bCs/>
          <w:szCs w:val="24"/>
        </w:rPr>
        <w:t>CONSIDERATO</w:t>
      </w:r>
      <w:r w:rsidRPr="001E7ABF">
        <w:rPr>
          <w:szCs w:val="24"/>
        </w:rPr>
        <w:t xml:space="preserve"> che </w:t>
      </w:r>
      <w:r w:rsidR="00A32074">
        <w:rPr>
          <w:szCs w:val="24"/>
        </w:rPr>
        <w:t>la materia</w:t>
      </w:r>
      <w:r w:rsidRPr="001E7ABF">
        <w:rPr>
          <w:szCs w:val="24"/>
        </w:rPr>
        <w:t xml:space="preserve"> degli sbilanciamenti imputabili agli impianti da fonti rinnovabili è oggetto di regolazione dell’</w:t>
      </w:r>
      <w:r w:rsidR="00A32074">
        <w:rPr>
          <w:szCs w:val="24"/>
        </w:rPr>
        <w:t>ARERA</w:t>
      </w:r>
      <w:r w:rsidRPr="001E7ABF">
        <w:rPr>
          <w:szCs w:val="24"/>
        </w:rPr>
        <w:t>;</w:t>
      </w:r>
    </w:p>
    <w:p w:rsidR="00F76E11" w:rsidRPr="001E7ABF" w:rsidRDefault="00655A01" w:rsidP="006E68B5">
      <w:pPr>
        <w:spacing w:before="240" w:after="120"/>
        <w:rPr>
          <w:szCs w:val="24"/>
        </w:rPr>
      </w:pPr>
      <w:r w:rsidRPr="002E5BD6">
        <w:rPr>
          <w:b/>
          <w:bCs/>
          <w:szCs w:val="24"/>
        </w:rPr>
        <w:t>CONSIDERATO</w:t>
      </w:r>
      <w:r w:rsidRPr="001E7ABF">
        <w:rPr>
          <w:szCs w:val="24"/>
        </w:rPr>
        <w:t xml:space="preserve"> che la durata dell’incentivo riconosciuto alla produzione da fonti rinnovabili deve essere coerente con le disposizioni per l’ammortamento contabile degli impianti, di cui all’articolo 2426, comma 2, del</w:t>
      </w:r>
      <w:r w:rsidR="00A32074">
        <w:rPr>
          <w:szCs w:val="24"/>
        </w:rPr>
        <w:t xml:space="preserve"> c</w:t>
      </w:r>
      <w:r w:rsidRPr="001E7ABF">
        <w:rPr>
          <w:szCs w:val="24"/>
        </w:rPr>
        <w:t>odice civile, fermo restando quanto previsto dalla</w:t>
      </w:r>
      <w:r w:rsidR="00A32074">
        <w:rPr>
          <w:szCs w:val="24"/>
        </w:rPr>
        <w:t xml:space="preserve"> vigente</w:t>
      </w:r>
      <w:r w:rsidRPr="001E7ABF">
        <w:rPr>
          <w:szCs w:val="24"/>
        </w:rPr>
        <w:t xml:space="preserve"> normativa fiscale;</w:t>
      </w:r>
    </w:p>
    <w:p w:rsidR="00E53BF4" w:rsidRPr="005C5C81" w:rsidRDefault="00E53BF4" w:rsidP="00E53BF4">
      <w:pPr>
        <w:spacing w:before="240" w:after="120"/>
        <w:rPr>
          <w:szCs w:val="24"/>
        </w:rPr>
      </w:pPr>
      <w:r>
        <w:rPr>
          <w:b/>
          <w:szCs w:val="24"/>
        </w:rPr>
        <w:lastRenderedPageBreak/>
        <w:t xml:space="preserve">ACQUISITO </w:t>
      </w:r>
      <w:r w:rsidRPr="005C5C81">
        <w:rPr>
          <w:szCs w:val="24"/>
        </w:rPr>
        <w:t>il concerto</w:t>
      </w:r>
      <w:r>
        <w:rPr>
          <w:b/>
          <w:szCs w:val="24"/>
        </w:rPr>
        <w:t xml:space="preserve"> </w:t>
      </w:r>
      <w:r w:rsidRPr="005C5C81">
        <w:rPr>
          <w:szCs w:val="24"/>
        </w:rPr>
        <w:t>del Ministro delle politiche agricole alimentari e forestali</w:t>
      </w:r>
      <w:r w:rsidR="001353CC">
        <w:rPr>
          <w:szCs w:val="24"/>
        </w:rPr>
        <w:t>, espresso</w:t>
      </w:r>
      <w:r w:rsidRPr="005C5C81">
        <w:rPr>
          <w:szCs w:val="24"/>
        </w:rPr>
        <w:t xml:space="preserve"> con nota </w:t>
      </w:r>
      <w:r w:rsidRPr="00983911">
        <w:rPr>
          <w:szCs w:val="24"/>
        </w:rPr>
        <w:t>del XXX</w:t>
      </w:r>
      <w:r w:rsidR="001353CC" w:rsidRPr="00983911">
        <w:rPr>
          <w:szCs w:val="24"/>
        </w:rPr>
        <w:t>;</w:t>
      </w:r>
    </w:p>
    <w:p w:rsidR="0084073A" w:rsidRPr="001E7ABF" w:rsidRDefault="0084073A" w:rsidP="006E68B5">
      <w:pPr>
        <w:spacing w:before="240" w:after="120"/>
        <w:rPr>
          <w:szCs w:val="24"/>
        </w:rPr>
      </w:pPr>
      <w:r w:rsidRPr="002E5BD6">
        <w:rPr>
          <w:b/>
          <w:bCs/>
          <w:szCs w:val="24"/>
        </w:rPr>
        <w:t>VISTO</w:t>
      </w:r>
      <w:r w:rsidRPr="001E7ABF">
        <w:rPr>
          <w:szCs w:val="24"/>
        </w:rPr>
        <w:t xml:space="preserve"> il parere</w:t>
      </w:r>
      <w:r w:rsidR="009A794E" w:rsidRPr="001E7ABF">
        <w:rPr>
          <w:szCs w:val="24"/>
        </w:rPr>
        <w:t xml:space="preserve"> n. XXX/XXX/YYY</w:t>
      </w:r>
      <w:r w:rsidR="00224536" w:rsidRPr="001E7ABF">
        <w:rPr>
          <w:szCs w:val="24"/>
        </w:rPr>
        <w:t xml:space="preserve"> dell’ARERA, </w:t>
      </w:r>
      <w:r w:rsidRPr="001E7ABF">
        <w:rPr>
          <w:szCs w:val="24"/>
        </w:rPr>
        <w:t xml:space="preserve">reso il </w:t>
      </w:r>
      <w:r w:rsidR="009A794E" w:rsidRPr="001E7ABF">
        <w:rPr>
          <w:szCs w:val="24"/>
        </w:rPr>
        <w:t>XX yyyy XXXX</w:t>
      </w:r>
      <w:r w:rsidRPr="001E7ABF">
        <w:rPr>
          <w:szCs w:val="24"/>
        </w:rPr>
        <w:t>;</w:t>
      </w:r>
    </w:p>
    <w:p w:rsidR="0084073A" w:rsidRPr="001E7ABF" w:rsidRDefault="006A3132" w:rsidP="002A16C3">
      <w:pPr>
        <w:spacing w:before="240" w:after="120"/>
        <w:rPr>
          <w:szCs w:val="24"/>
        </w:rPr>
      </w:pPr>
      <w:r>
        <w:rPr>
          <w:b/>
          <w:bCs/>
          <w:szCs w:val="24"/>
        </w:rPr>
        <w:t>ACQUISITO</w:t>
      </w:r>
      <w:r w:rsidR="0084073A" w:rsidRPr="001E7ABF">
        <w:rPr>
          <w:szCs w:val="24"/>
        </w:rPr>
        <w:t xml:space="preserve"> il parere della Conferenza unificata di cui all</w:t>
      </w:r>
      <w:r>
        <w:rPr>
          <w:szCs w:val="24"/>
        </w:rPr>
        <w:t>’</w:t>
      </w:r>
      <w:r w:rsidR="0084073A" w:rsidRPr="001E7ABF">
        <w:rPr>
          <w:szCs w:val="24"/>
        </w:rPr>
        <w:t xml:space="preserve">articolo 8 del </w:t>
      </w:r>
      <w:r w:rsidR="00D83914" w:rsidRPr="001E7ABF">
        <w:rPr>
          <w:szCs w:val="24"/>
        </w:rPr>
        <w:t>decreto</w:t>
      </w:r>
      <w:r w:rsidR="0084073A" w:rsidRPr="001E7ABF">
        <w:rPr>
          <w:szCs w:val="24"/>
        </w:rPr>
        <w:t xml:space="preserve"> legislativo 28 agosto 1997, n. 281, reso nella seduta del </w:t>
      </w:r>
      <w:r w:rsidR="004945D4" w:rsidRPr="001E7ABF">
        <w:rPr>
          <w:szCs w:val="24"/>
        </w:rPr>
        <w:t>XX yyyy XXXX</w:t>
      </w:r>
      <w:r w:rsidR="0084073A" w:rsidRPr="001E7ABF">
        <w:rPr>
          <w:szCs w:val="24"/>
        </w:rPr>
        <w:t>;</w:t>
      </w:r>
    </w:p>
    <w:p w:rsidR="008116E7" w:rsidRDefault="0084073A" w:rsidP="008116E7">
      <w:pPr>
        <w:spacing w:before="240" w:after="120"/>
        <w:rPr>
          <w:bCs/>
          <w:szCs w:val="24"/>
        </w:rPr>
      </w:pPr>
      <w:r w:rsidRPr="002E5BD6">
        <w:rPr>
          <w:b/>
          <w:szCs w:val="24"/>
        </w:rPr>
        <w:t>VISTA</w:t>
      </w:r>
      <w:r w:rsidRPr="001E7ABF">
        <w:rPr>
          <w:bCs/>
          <w:szCs w:val="24"/>
        </w:rPr>
        <w:t xml:space="preserve"> la decisione della Commissione europea XXX del XXX con la quale la medesima Commissione ha deciso di non</w:t>
      </w:r>
      <w:r w:rsidR="00AD2602">
        <w:rPr>
          <w:bCs/>
          <w:szCs w:val="24"/>
        </w:rPr>
        <w:t xml:space="preserve"> sollevare obiezioni</w:t>
      </w:r>
      <w:r w:rsidR="005E5848">
        <w:rPr>
          <w:bCs/>
          <w:szCs w:val="24"/>
        </w:rPr>
        <w:t xml:space="preserve"> nei confronti della misura di aiuto di cui al presente decreto</w:t>
      </w:r>
      <w:r w:rsidRPr="001E7ABF">
        <w:rPr>
          <w:bCs/>
          <w:szCs w:val="24"/>
        </w:rPr>
        <w:t xml:space="preserve">, in quanto compatibile con il mercato interno ai sensi dell’articolo 107, paragrafo 3, lettera c) del </w:t>
      </w:r>
      <w:r w:rsidR="00A32074">
        <w:rPr>
          <w:bCs/>
          <w:szCs w:val="24"/>
        </w:rPr>
        <w:t>T</w:t>
      </w:r>
      <w:r w:rsidRPr="001E7ABF">
        <w:rPr>
          <w:bCs/>
          <w:szCs w:val="24"/>
        </w:rPr>
        <w:t>rattato sul funzionamento dell’Unione europea;</w:t>
      </w:r>
    </w:p>
    <w:p w:rsidR="00D6592D" w:rsidRDefault="0012327A" w:rsidP="00E21C87">
      <w:pPr>
        <w:spacing w:before="840" w:after="120"/>
        <w:jc w:val="center"/>
        <w:rPr>
          <w:b/>
          <w:bCs/>
          <w:szCs w:val="24"/>
        </w:rPr>
      </w:pPr>
      <w:r w:rsidRPr="001E7ABF">
        <w:rPr>
          <w:b/>
          <w:bCs/>
          <w:szCs w:val="24"/>
        </w:rPr>
        <w:t>decreta</w:t>
      </w:r>
    </w:p>
    <w:p w:rsidR="0012327A" w:rsidRPr="00C726E9" w:rsidRDefault="0012327A" w:rsidP="00F3067C">
      <w:pPr>
        <w:pStyle w:val="Sottotitolo"/>
        <w:spacing w:before="360" w:after="360"/>
        <w:jc w:val="center"/>
        <w:outlineLvl w:val="1"/>
        <w:rPr>
          <w:b w:val="0"/>
          <w:bCs/>
          <w:i/>
        </w:rPr>
      </w:pPr>
      <w:bookmarkStart w:id="0" w:name="_Toc8978882"/>
      <w:r w:rsidRPr="001E7ABF">
        <w:t>Art. 1</w:t>
      </w:r>
      <w:bookmarkEnd w:id="0"/>
      <w:r w:rsidR="00526447" w:rsidRPr="003A1739">
        <w:br/>
      </w:r>
      <w:bookmarkStart w:id="1" w:name="_Toc8978883"/>
      <w:r w:rsidRPr="00C726E9">
        <w:rPr>
          <w:b w:val="0"/>
          <w:bCs/>
          <w:i/>
        </w:rPr>
        <w:t>(Finalità</w:t>
      </w:r>
      <w:r w:rsidR="00F26F47" w:rsidRPr="00C726E9">
        <w:rPr>
          <w:b w:val="0"/>
          <w:bCs/>
          <w:i/>
        </w:rPr>
        <w:t xml:space="preserve"> e</w:t>
      </w:r>
      <w:r w:rsidRPr="00C726E9">
        <w:rPr>
          <w:b w:val="0"/>
          <w:bCs/>
          <w:i/>
        </w:rPr>
        <w:t xml:space="preserve"> ambito di applicazione)</w:t>
      </w:r>
      <w:bookmarkEnd w:id="1"/>
    </w:p>
    <w:p w:rsidR="00CA1109" w:rsidRDefault="009740DB" w:rsidP="007A3CB0">
      <w:pPr>
        <w:pStyle w:val="Nessunaspaziatura"/>
        <w:rPr>
          <w:bCs/>
        </w:rPr>
      </w:pPr>
      <w:r w:rsidRPr="001E7ABF">
        <w:t xml:space="preserve">1. Il presente decreto ha la finalità di sostenere la produzione di energia elettrica </w:t>
      </w:r>
      <w:r w:rsidR="00FA5733">
        <w:t>di</w:t>
      </w:r>
      <w:r w:rsidR="00D4539B">
        <w:t xml:space="preserve"> </w:t>
      </w:r>
      <w:r w:rsidR="004348F1" w:rsidRPr="00BE1CB7">
        <w:t xml:space="preserve">impianti </w:t>
      </w:r>
      <w:r w:rsidR="00FA5733">
        <w:t xml:space="preserve">a fonti rinnovabili </w:t>
      </w:r>
      <w:r w:rsidR="004348F1" w:rsidRPr="00BE1CB7">
        <w:t xml:space="preserve">innovativi </w:t>
      </w:r>
      <w:r w:rsidR="00D974EE">
        <w:t xml:space="preserve">o </w:t>
      </w:r>
      <w:r w:rsidR="004348F1" w:rsidRPr="00BE1CB7">
        <w:t>con costi di generazione elevati</w:t>
      </w:r>
      <w:r w:rsidRPr="001E7ABF">
        <w:t>,</w:t>
      </w:r>
      <w:r w:rsidRPr="001E7ABF">
        <w:rPr>
          <w:bCs/>
        </w:rPr>
        <w:t xml:space="preserve"> attraverso la definizione di incentivi </w:t>
      </w:r>
      <w:r w:rsidR="00886AD8" w:rsidRPr="001E7ABF">
        <w:rPr>
          <w:bCs/>
        </w:rPr>
        <w:t>che</w:t>
      </w:r>
      <w:r w:rsidR="007000FC">
        <w:rPr>
          <w:bCs/>
        </w:rPr>
        <w:t xml:space="preserve"> </w:t>
      </w:r>
      <w:r w:rsidR="00CA1109">
        <w:rPr>
          <w:bCs/>
        </w:rPr>
        <w:t>stimol</w:t>
      </w:r>
      <w:r w:rsidR="00F01190">
        <w:rPr>
          <w:bCs/>
        </w:rPr>
        <w:t>ino</w:t>
      </w:r>
      <w:r w:rsidR="007000FC">
        <w:rPr>
          <w:bCs/>
        </w:rPr>
        <w:t xml:space="preserve"> </w:t>
      </w:r>
      <w:r w:rsidR="00F01190">
        <w:rPr>
          <w:bCs/>
        </w:rPr>
        <w:t xml:space="preserve">tali applicazioni </w:t>
      </w:r>
      <w:r w:rsidR="00E02244">
        <w:rPr>
          <w:bCs/>
        </w:rPr>
        <w:t>a</w:t>
      </w:r>
      <w:r w:rsidR="00FF045A">
        <w:rPr>
          <w:bCs/>
        </w:rPr>
        <w:t xml:space="preserve"> incrementare la propria competitività</w:t>
      </w:r>
      <w:r w:rsidR="00D974EE">
        <w:rPr>
          <w:bCs/>
        </w:rPr>
        <w:t xml:space="preserve"> e consentano </w:t>
      </w:r>
      <w:r w:rsidR="003C3294">
        <w:rPr>
          <w:bCs/>
        </w:rPr>
        <w:t xml:space="preserve">loro </w:t>
      </w:r>
      <w:r w:rsidR="00D974EE">
        <w:rPr>
          <w:bCs/>
        </w:rPr>
        <w:t xml:space="preserve">di contribuire al raggiungimento degli obiettivi </w:t>
      </w:r>
      <w:r w:rsidR="00640D3B">
        <w:rPr>
          <w:bCs/>
        </w:rPr>
        <w:t>di decarbonizzazione</w:t>
      </w:r>
      <w:r w:rsidR="00D974EE">
        <w:rPr>
          <w:bCs/>
        </w:rPr>
        <w:t xml:space="preserve"> al 2030</w:t>
      </w:r>
      <w:r w:rsidR="005D34EE">
        <w:rPr>
          <w:bCs/>
        </w:rPr>
        <w:t>.</w:t>
      </w:r>
    </w:p>
    <w:p w:rsidR="00E02244" w:rsidRDefault="00E02244" w:rsidP="007A3CB0">
      <w:pPr>
        <w:pStyle w:val="Nessunaspaziatura"/>
      </w:pPr>
    </w:p>
    <w:p w:rsidR="00E2131E" w:rsidRPr="00C015C1" w:rsidRDefault="00F405D9" w:rsidP="007A3CB0">
      <w:pPr>
        <w:pStyle w:val="Nessunaspaziatura"/>
      </w:pPr>
      <w:r w:rsidRPr="001E7ABF">
        <w:t>2</w:t>
      </w:r>
      <w:r w:rsidR="00E232BC" w:rsidRPr="001E7ABF">
        <w:t xml:space="preserve">. </w:t>
      </w:r>
      <w:r w:rsidR="00470FD2">
        <w:t xml:space="preserve">Per il </w:t>
      </w:r>
      <w:r w:rsidR="00A561E0">
        <w:t>perseguimento</w:t>
      </w:r>
      <w:r w:rsidR="00470FD2">
        <w:t xml:space="preserve"> delle finalità di cui al comma 1, </w:t>
      </w:r>
      <w:r w:rsidR="00907AE5">
        <w:t>i</w:t>
      </w:r>
      <w:r w:rsidR="00470FD2">
        <w:t>l presente decreto stabilisce</w:t>
      </w:r>
      <w:r w:rsidR="00BC37C6">
        <w:t xml:space="preserve"> le</w:t>
      </w:r>
      <w:r w:rsidR="00470FD2">
        <w:t xml:space="preserve"> modalità e </w:t>
      </w:r>
      <w:r w:rsidR="00BC37C6">
        <w:t xml:space="preserve">le </w:t>
      </w:r>
      <w:r w:rsidR="00470FD2">
        <w:t xml:space="preserve">condizioni </w:t>
      </w:r>
      <w:r w:rsidR="00F72528">
        <w:t xml:space="preserve">in base alle </w:t>
      </w:r>
      <w:r w:rsidR="00BB2138">
        <w:t xml:space="preserve">quali </w:t>
      </w:r>
      <w:r w:rsidR="000C0216">
        <w:t>gli</w:t>
      </w:r>
      <w:r w:rsidR="00BB2138">
        <w:t xml:space="preserve"> </w:t>
      </w:r>
      <w:r w:rsidR="00874036">
        <w:t>impianti</w:t>
      </w:r>
      <w:r w:rsidR="007F0453">
        <w:t xml:space="preserve"> alimentati da biogas e biomasse</w:t>
      </w:r>
      <w:r w:rsidR="009E320C">
        <w:t xml:space="preserve">, </w:t>
      </w:r>
      <w:r w:rsidR="00C015C1">
        <w:t>solari termodinamici</w:t>
      </w:r>
      <w:r w:rsidR="009E320C">
        <w:t>,</w:t>
      </w:r>
      <w:r w:rsidR="007F0453">
        <w:t xml:space="preserve"> geoterm</w:t>
      </w:r>
      <w:r w:rsidR="00524FAC">
        <w:t>oelettrici</w:t>
      </w:r>
      <w:r w:rsidR="009D721B">
        <w:t xml:space="preserve"> ed</w:t>
      </w:r>
      <w:r w:rsidR="007F0453">
        <w:t xml:space="preserve"> </w:t>
      </w:r>
      <w:r w:rsidR="00E2131E" w:rsidRPr="00324C32">
        <w:t xml:space="preserve">eolici </w:t>
      </w:r>
      <w:r w:rsidR="00E2131E" w:rsidRPr="00E21C87">
        <w:rPr>
          <w:i/>
        </w:rPr>
        <w:t>off-shore</w:t>
      </w:r>
      <w:r w:rsidR="00F72528">
        <w:t xml:space="preserve"> che</w:t>
      </w:r>
      <w:r w:rsidR="005F1AA5">
        <w:t xml:space="preserve"> presentino caratteristiche di innovazione e ridotto impatto sull’ambiente e sul territorio</w:t>
      </w:r>
      <w:r w:rsidR="00F72528">
        <w:t xml:space="preserve">, possono accedere agli incentivi. </w:t>
      </w:r>
    </w:p>
    <w:p w:rsidR="0012327A" w:rsidRPr="00C726E9" w:rsidRDefault="0012327A" w:rsidP="00F3067C">
      <w:pPr>
        <w:pStyle w:val="Sottotitolo"/>
        <w:spacing w:before="360" w:after="360"/>
        <w:jc w:val="center"/>
        <w:outlineLvl w:val="1"/>
        <w:rPr>
          <w:b w:val="0"/>
          <w:bCs/>
          <w:i/>
          <w:iCs/>
        </w:rPr>
      </w:pPr>
      <w:bookmarkStart w:id="2" w:name="_Toc8978886"/>
      <w:r w:rsidRPr="001E7ABF">
        <w:t>Art. 2</w:t>
      </w:r>
      <w:bookmarkEnd w:id="2"/>
      <w:r w:rsidR="00171413" w:rsidRPr="003A1739">
        <w:br/>
      </w:r>
      <w:bookmarkStart w:id="3" w:name="_Toc8978887"/>
      <w:r w:rsidRPr="00C726E9">
        <w:rPr>
          <w:b w:val="0"/>
          <w:bCs/>
          <w:i/>
          <w:iCs/>
        </w:rPr>
        <w:t>(</w:t>
      </w:r>
      <w:r w:rsidR="002822D1" w:rsidRPr="00F3067C">
        <w:rPr>
          <w:b w:val="0"/>
          <w:bCs/>
          <w:i/>
        </w:rPr>
        <w:t>Definizioni</w:t>
      </w:r>
      <w:r w:rsidRPr="00C726E9">
        <w:rPr>
          <w:b w:val="0"/>
          <w:bCs/>
          <w:i/>
          <w:iCs/>
        </w:rPr>
        <w:t>)</w:t>
      </w:r>
      <w:bookmarkEnd w:id="3"/>
    </w:p>
    <w:p w:rsidR="008E4E39" w:rsidRDefault="008E4E39" w:rsidP="008E4E39">
      <w:pPr>
        <w:pStyle w:val="Nessunaspaziatura"/>
        <w:spacing w:before="240" w:after="240"/>
        <w:rPr>
          <w:iCs/>
          <w:szCs w:val="24"/>
        </w:rPr>
      </w:pPr>
      <w:r w:rsidRPr="001E7ABF">
        <w:rPr>
          <w:iCs/>
          <w:szCs w:val="24"/>
        </w:rPr>
        <w:t>1. Ai fini del presente decreto si applicano le definizioni</w:t>
      </w:r>
      <w:r>
        <w:rPr>
          <w:iCs/>
          <w:szCs w:val="24"/>
        </w:rPr>
        <w:t xml:space="preserve"> </w:t>
      </w:r>
      <w:r w:rsidRPr="001E7ABF">
        <w:rPr>
          <w:iCs/>
          <w:szCs w:val="24"/>
        </w:rPr>
        <w:t xml:space="preserve">di cui all’articolo 2 del decreto </w:t>
      </w:r>
      <w:r>
        <w:rPr>
          <w:iCs/>
          <w:szCs w:val="24"/>
        </w:rPr>
        <w:t xml:space="preserve">legislativo </w:t>
      </w:r>
      <w:r w:rsidR="00C75DE4">
        <w:rPr>
          <w:color w:val="000000"/>
          <w:szCs w:val="24"/>
        </w:rPr>
        <w:t>199 del 2021</w:t>
      </w:r>
      <w:r>
        <w:rPr>
          <w:iCs/>
          <w:szCs w:val="24"/>
        </w:rPr>
        <w:t xml:space="preserve">, </w:t>
      </w:r>
      <w:r w:rsidR="00F72528">
        <w:rPr>
          <w:iCs/>
          <w:szCs w:val="24"/>
        </w:rPr>
        <w:t xml:space="preserve">nonché </w:t>
      </w:r>
      <w:r>
        <w:rPr>
          <w:iCs/>
          <w:szCs w:val="24"/>
        </w:rPr>
        <w:t>le seguenti definizioni:</w:t>
      </w:r>
      <w:r w:rsidRPr="001E7ABF">
        <w:rPr>
          <w:iCs/>
          <w:szCs w:val="24"/>
        </w:rPr>
        <w:t xml:space="preserve"> </w:t>
      </w:r>
    </w:p>
    <w:p w:rsidR="008E4E39" w:rsidRPr="008E3C70" w:rsidRDefault="008E4E39" w:rsidP="00FF03FF">
      <w:pPr>
        <w:pStyle w:val="Nessunaspaziatura"/>
        <w:numPr>
          <w:ilvl w:val="0"/>
          <w:numId w:val="34"/>
        </w:numPr>
        <w:spacing w:before="240"/>
        <w:ind w:left="426"/>
        <w:rPr>
          <w:iCs/>
          <w:szCs w:val="24"/>
        </w:rPr>
      </w:pPr>
      <w:r>
        <w:rPr>
          <w:iCs/>
          <w:szCs w:val="24"/>
        </w:rPr>
        <w:t>“</w:t>
      </w:r>
      <w:r w:rsidRPr="008E3C70">
        <w:rPr>
          <w:iCs/>
          <w:szCs w:val="24"/>
        </w:rPr>
        <w:t>impianto alimentato da fonti rinnovabili</w:t>
      </w:r>
      <w:r>
        <w:rPr>
          <w:iCs/>
          <w:szCs w:val="24"/>
        </w:rPr>
        <w:t xml:space="preserve">”: </w:t>
      </w:r>
      <w:r w:rsidRPr="008E3C70">
        <w:rPr>
          <w:iCs/>
          <w:szCs w:val="24"/>
        </w:rPr>
        <w:t>insieme</w:t>
      </w:r>
      <w:r>
        <w:rPr>
          <w:iCs/>
          <w:szCs w:val="24"/>
        </w:rPr>
        <w:t xml:space="preserve"> </w:t>
      </w:r>
      <w:r w:rsidRPr="008E3C70">
        <w:rPr>
          <w:iCs/>
          <w:szCs w:val="24"/>
        </w:rPr>
        <w:t>delle opere e delle apparecchiature, funzionalmente</w:t>
      </w:r>
      <w:r>
        <w:rPr>
          <w:iCs/>
          <w:szCs w:val="24"/>
        </w:rPr>
        <w:t xml:space="preserve"> </w:t>
      </w:r>
      <w:r w:rsidRPr="008E3C70">
        <w:rPr>
          <w:iCs/>
          <w:szCs w:val="24"/>
        </w:rPr>
        <w:t>interconnesse, destinat</w:t>
      </w:r>
      <w:r w:rsidR="00EF5DCD">
        <w:rPr>
          <w:iCs/>
          <w:szCs w:val="24"/>
        </w:rPr>
        <w:t>o</w:t>
      </w:r>
      <w:r w:rsidRPr="008E3C70">
        <w:rPr>
          <w:iCs/>
          <w:szCs w:val="24"/>
        </w:rPr>
        <w:t xml:space="preserve"> alla conversione dell’energia</w:t>
      </w:r>
      <w:r>
        <w:rPr>
          <w:iCs/>
          <w:szCs w:val="24"/>
        </w:rPr>
        <w:t xml:space="preserve"> </w:t>
      </w:r>
      <w:r w:rsidRPr="008E3C70">
        <w:rPr>
          <w:iCs/>
          <w:szCs w:val="24"/>
        </w:rPr>
        <w:t>rinnovabile in energia elettrica</w:t>
      </w:r>
      <w:r w:rsidR="00EF5DCD">
        <w:rPr>
          <w:iCs/>
          <w:szCs w:val="24"/>
        </w:rPr>
        <w:t xml:space="preserve"> che comprende</w:t>
      </w:r>
      <w:r w:rsidRPr="008E3C70">
        <w:rPr>
          <w:iCs/>
          <w:szCs w:val="24"/>
        </w:rPr>
        <w:t xml:space="preserve"> in</w:t>
      </w:r>
      <w:r>
        <w:rPr>
          <w:iCs/>
          <w:szCs w:val="24"/>
        </w:rPr>
        <w:t xml:space="preserve"> </w:t>
      </w:r>
      <w:r w:rsidRPr="008E3C70">
        <w:rPr>
          <w:iCs/>
          <w:szCs w:val="24"/>
        </w:rPr>
        <w:t>particolare:</w:t>
      </w:r>
    </w:p>
    <w:p w:rsidR="008E4E39" w:rsidRPr="00ED007B" w:rsidRDefault="008E4E39" w:rsidP="00EF5DCD">
      <w:pPr>
        <w:pStyle w:val="Nessunaspaziatura"/>
        <w:numPr>
          <w:ilvl w:val="0"/>
          <w:numId w:val="33"/>
        </w:numPr>
        <w:ind w:left="426" w:hanging="142"/>
        <w:rPr>
          <w:iCs/>
          <w:szCs w:val="24"/>
        </w:rPr>
      </w:pPr>
      <w:r w:rsidRPr="00ED007B">
        <w:rPr>
          <w:iCs/>
          <w:szCs w:val="24"/>
        </w:rPr>
        <w:t>le opere, compresi eventuali edifici e i macchinari che consentono l’utilizzo diretto oppure il trattamento della fonte rinnovabile e il suo successivo utilizzo perla produzione di energia elettrica;</w:t>
      </w:r>
    </w:p>
    <w:p w:rsidR="008E4E39" w:rsidRPr="00ED007B" w:rsidRDefault="008E4E39" w:rsidP="00EF5DCD">
      <w:pPr>
        <w:pStyle w:val="Nessunaspaziatura"/>
        <w:numPr>
          <w:ilvl w:val="0"/>
          <w:numId w:val="33"/>
        </w:numPr>
        <w:spacing w:after="240"/>
        <w:ind w:left="426" w:hanging="142"/>
        <w:rPr>
          <w:iCs/>
          <w:szCs w:val="24"/>
        </w:rPr>
      </w:pPr>
      <w:r w:rsidRPr="00ED007B">
        <w:rPr>
          <w:iCs/>
          <w:szCs w:val="24"/>
        </w:rPr>
        <w:t>i gruppi di generazione dell’energia elettrica, i servizi ausiliari di impianto, i trasformatori posti a monte del o dei punti di connessione alla rete elettrica, nonché i misuratori dell’energia elettrica funzionali alla quantificazione degli incentivi</w:t>
      </w:r>
      <w:r w:rsidR="00D263DD">
        <w:rPr>
          <w:iCs/>
          <w:szCs w:val="24"/>
        </w:rPr>
        <w:t>;</w:t>
      </w:r>
    </w:p>
    <w:p w:rsidR="008E4E39" w:rsidRPr="00ED007B" w:rsidRDefault="008E4E39" w:rsidP="00FF03FF">
      <w:pPr>
        <w:pStyle w:val="Nessunaspaziatura"/>
        <w:numPr>
          <w:ilvl w:val="0"/>
          <w:numId w:val="34"/>
        </w:numPr>
        <w:spacing w:before="240" w:after="240"/>
        <w:ind w:left="426"/>
        <w:rPr>
          <w:iCs/>
          <w:szCs w:val="24"/>
        </w:rPr>
      </w:pPr>
      <w:r w:rsidRPr="00ED007B">
        <w:rPr>
          <w:iCs/>
          <w:szCs w:val="24"/>
        </w:rPr>
        <w:t>“nuovo impianto”: impianto realizzato utilizzando componenti nuovi o rigenerati, in un sito sul quale, prima dell’avvio dei lavori di costruzione, non era presente, da almeno cinque anni, un altro impianto, o le principali parti</w:t>
      </w:r>
      <w:r>
        <w:rPr>
          <w:iCs/>
          <w:szCs w:val="24"/>
        </w:rPr>
        <w:t xml:space="preserve"> </w:t>
      </w:r>
      <w:r w:rsidRPr="00ED007B">
        <w:rPr>
          <w:iCs/>
          <w:szCs w:val="24"/>
        </w:rPr>
        <w:t>di esso, alimentato dalla stessa fonte rinnovabile;</w:t>
      </w:r>
    </w:p>
    <w:p w:rsidR="008E4E39" w:rsidRPr="00ED007B" w:rsidRDefault="008E4E39" w:rsidP="00FF03FF">
      <w:pPr>
        <w:pStyle w:val="Nessunaspaziatura"/>
        <w:numPr>
          <w:ilvl w:val="0"/>
          <w:numId w:val="34"/>
        </w:numPr>
        <w:spacing w:before="240" w:after="240"/>
        <w:ind w:left="426"/>
        <w:rPr>
          <w:iCs/>
          <w:szCs w:val="24"/>
        </w:rPr>
      </w:pPr>
      <w:r w:rsidRPr="00ED007B">
        <w:rPr>
          <w:iCs/>
          <w:szCs w:val="24"/>
        </w:rPr>
        <w:lastRenderedPageBreak/>
        <w:t>“produzione netta di un impianto, espressa in MWh”: è</w:t>
      </w:r>
      <w:r w:rsidR="00A1348F">
        <w:rPr>
          <w:iCs/>
          <w:szCs w:val="24"/>
        </w:rPr>
        <w:t xml:space="preserve"> la</w:t>
      </w:r>
      <w:r w:rsidRPr="00ED007B">
        <w:rPr>
          <w:iCs/>
          <w:szCs w:val="24"/>
        </w:rPr>
        <w:t xml:space="preserve"> </w:t>
      </w:r>
      <w:r w:rsidR="00A1348F" w:rsidRPr="00ED007B">
        <w:rPr>
          <w:iCs/>
          <w:szCs w:val="24"/>
        </w:rPr>
        <w:t>somma delle quantità di energia elettrica prodotte da tutti i gruppi generatori dell’impianto, misurate</w:t>
      </w:r>
      <w:r w:rsidR="00A1348F">
        <w:rPr>
          <w:iCs/>
          <w:szCs w:val="24"/>
        </w:rPr>
        <w:t xml:space="preserve"> </w:t>
      </w:r>
      <w:r w:rsidR="00A1348F" w:rsidRPr="00ED007B">
        <w:rPr>
          <w:iCs/>
          <w:szCs w:val="24"/>
        </w:rPr>
        <w:t>ai morsetti di macchina</w:t>
      </w:r>
      <w:r w:rsidR="00A1348F">
        <w:rPr>
          <w:iCs/>
          <w:szCs w:val="24"/>
        </w:rPr>
        <w:t>,</w:t>
      </w:r>
      <w:r w:rsidR="00A1348F" w:rsidRPr="00ED007B">
        <w:rPr>
          <w:iCs/>
          <w:szCs w:val="24"/>
        </w:rPr>
        <w:t xml:space="preserve"> </w:t>
      </w:r>
      <w:r w:rsidRPr="00ED007B">
        <w:rPr>
          <w:iCs/>
          <w:szCs w:val="24"/>
        </w:rPr>
        <w:t>diminuita dell’energia elettrica assorbita dai servizi ausiliari di centrale, delle perdite nei trasformatori principali e delle perdite di linea fino</w:t>
      </w:r>
      <w:r>
        <w:rPr>
          <w:iCs/>
          <w:szCs w:val="24"/>
        </w:rPr>
        <w:t xml:space="preserve"> </w:t>
      </w:r>
      <w:r w:rsidRPr="00ED007B">
        <w:rPr>
          <w:iCs/>
          <w:szCs w:val="24"/>
        </w:rPr>
        <w:t>al punto di consegna dell’energia alla rete elettrica;</w:t>
      </w:r>
    </w:p>
    <w:p w:rsidR="008E4E39" w:rsidRPr="00ED007B" w:rsidRDefault="008E4E39" w:rsidP="00FF03FF">
      <w:pPr>
        <w:pStyle w:val="Nessunaspaziatura"/>
        <w:numPr>
          <w:ilvl w:val="0"/>
          <w:numId w:val="34"/>
        </w:numPr>
        <w:spacing w:before="240" w:after="240"/>
        <w:ind w:left="426"/>
        <w:rPr>
          <w:iCs/>
          <w:szCs w:val="24"/>
        </w:rPr>
      </w:pPr>
      <w:r w:rsidRPr="00ED007B">
        <w:rPr>
          <w:iCs/>
          <w:szCs w:val="24"/>
        </w:rPr>
        <w:t>“data di entrata in esercizio di un impianto”: data in cui, al termine dell’intervento di realizzazione delle opere funzionali all’esercizio dell’impianto, si effettua il primo funzionamento dell’impianto in parallelo con il sistema elettrico, così come risultante dal sistema</w:t>
      </w:r>
      <w:r>
        <w:rPr>
          <w:iCs/>
          <w:szCs w:val="24"/>
        </w:rPr>
        <w:t xml:space="preserve"> </w:t>
      </w:r>
      <w:r w:rsidR="00FA7C30" w:rsidRPr="00FA7C30">
        <w:rPr>
          <w:iCs/>
          <w:szCs w:val="24"/>
        </w:rPr>
        <w:t>Gestione delle Anagrafiche Uniche Degli Impianti di produzione</w:t>
      </w:r>
      <w:r w:rsidR="00FA7C30">
        <w:rPr>
          <w:rFonts w:ascii="Arial" w:hAnsi="Arial" w:cs="Arial"/>
          <w:color w:val="2F2F2F"/>
          <w:shd w:val="clear" w:color="auto" w:fill="FFFFFF"/>
        </w:rPr>
        <w:t> </w:t>
      </w:r>
      <w:r w:rsidR="003D6B25" w:rsidRPr="003D6B25">
        <w:rPr>
          <w:iCs/>
          <w:szCs w:val="24"/>
        </w:rPr>
        <w:t>istituito con delibera</w:t>
      </w:r>
      <w:r w:rsidR="003D6B25">
        <w:rPr>
          <w:iCs/>
          <w:szCs w:val="24"/>
        </w:rPr>
        <w:t xml:space="preserve"> di ARERA</w:t>
      </w:r>
      <w:r w:rsidR="003D6B25" w:rsidRPr="003D6B25">
        <w:rPr>
          <w:iCs/>
          <w:szCs w:val="24"/>
        </w:rPr>
        <w:t xml:space="preserve"> ARG/elt 124/10</w:t>
      </w:r>
      <w:r w:rsidR="003D6B25">
        <w:rPr>
          <w:iCs/>
          <w:szCs w:val="24"/>
        </w:rPr>
        <w:t xml:space="preserve"> (nel seguito: </w:t>
      </w:r>
      <w:r w:rsidRPr="00ED007B">
        <w:rPr>
          <w:iCs/>
          <w:szCs w:val="24"/>
        </w:rPr>
        <w:t>GAUDÌ</w:t>
      </w:r>
      <w:r w:rsidR="003D6B25">
        <w:rPr>
          <w:iCs/>
          <w:szCs w:val="24"/>
        </w:rPr>
        <w:t>)</w:t>
      </w:r>
      <w:r w:rsidRPr="00ED007B">
        <w:rPr>
          <w:iCs/>
          <w:szCs w:val="24"/>
        </w:rPr>
        <w:t>;</w:t>
      </w:r>
    </w:p>
    <w:p w:rsidR="008E4E39" w:rsidRPr="00ED007B" w:rsidRDefault="008E4E39" w:rsidP="00FF03FF">
      <w:pPr>
        <w:pStyle w:val="Nessunaspaziatura"/>
        <w:numPr>
          <w:ilvl w:val="0"/>
          <w:numId w:val="34"/>
        </w:numPr>
        <w:spacing w:before="240" w:after="240"/>
        <w:ind w:left="426"/>
        <w:rPr>
          <w:iCs/>
          <w:szCs w:val="24"/>
        </w:rPr>
      </w:pPr>
      <w:r w:rsidRPr="00ED007B">
        <w:rPr>
          <w:iCs/>
          <w:szCs w:val="24"/>
        </w:rPr>
        <w:t>“data di entrata in esercizio commerciale di un impianto”:</w:t>
      </w:r>
      <w:r>
        <w:rPr>
          <w:iCs/>
          <w:szCs w:val="24"/>
        </w:rPr>
        <w:t xml:space="preserve"> </w:t>
      </w:r>
      <w:r w:rsidRPr="00ED007B">
        <w:rPr>
          <w:iCs/>
          <w:szCs w:val="24"/>
        </w:rPr>
        <w:t>data, comunicata dal produttore al GSE, a</w:t>
      </w:r>
      <w:r>
        <w:rPr>
          <w:iCs/>
          <w:szCs w:val="24"/>
        </w:rPr>
        <w:t xml:space="preserve"> </w:t>
      </w:r>
      <w:r w:rsidRPr="00ED007B">
        <w:rPr>
          <w:iCs/>
          <w:szCs w:val="24"/>
        </w:rPr>
        <w:t>decorrere dalla quale ha inizio il periodo di incentivazione;</w:t>
      </w:r>
    </w:p>
    <w:p w:rsidR="008E4E39" w:rsidRPr="00ED007B" w:rsidRDefault="008E4E39" w:rsidP="00FF03FF">
      <w:pPr>
        <w:pStyle w:val="Nessunaspaziatura"/>
        <w:numPr>
          <w:ilvl w:val="0"/>
          <w:numId w:val="34"/>
        </w:numPr>
        <w:spacing w:before="240" w:after="240"/>
        <w:ind w:left="426"/>
        <w:rPr>
          <w:iCs/>
          <w:szCs w:val="24"/>
        </w:rPr>
      </w:pPr>
      <w:r w:rsidRPr="00ED007B">
        <w:rPr>
          <w:iCs/>
          <w:szCs w:val="24"/>
        </w:rPr>
        <w:t>“periodo di avviamento e collaudo di un impianto”: periodo intercorrente tra la data di entrata in esercizio e la data di</w:t>
      </w:r>
      <w:r>
        <w:rPr>
          <w:iCs/>
          <w:szCs w:val="24"/>
        </w:rPr>
        <w:t xml:space="preserve"> </w:t>
      </w:r>
      <w:r w:rsidRPr="00ED007B">
        <w:rPr>
          <w:iCs/>
          <w:szCs w:val="24"/>
        </w:rPr>
        <w:t>entrata in esercizio commerciale;</w:t>
      </w:r>
    </w:p>
    <w:p w:rsidR="00EB6D4B" w:rsidRDefault="008E4E39" w:rsidP="00FF03FF">
      <w:pPr>
        <w:pStyle w:val="Nessunaspaziatura"/>
        <w:numPr>
          <w:ilvl w:val="0"/>
          <w:numId w:val="34"/>
        </w:numPr>
        <w:spacing w:before="240" w:after="240"/>
        <w:ind w:left="426"/>
        <w:rPr>
          <w:iCs/>
          <w:szCs w:val="24"/>
        </w:rPr>
      </w:pPr>
      <w:r w:rsidRPr="00F74970">
        <w:rPr>
          <w:iCs/>
          <w:szCs w:val="24"/>
        </w:rPr>
        <w:t>“potenza di un impianto”: somma, espressa</w:t>
      </w:r>
      <w:r>
        <w:rPr>
          <w:iCs/>
          <w:szCs w:val="24"/>
        </w:rPr>
        <w:t xml:space="preserve"> </w:t>
      </w:r>
      <w:r w:rsidRPr="00F74970">
        <w:rPr>
          <w:iCs/>
          <w:szCs w:val="24"/>
        </w:rPr>
        <w:t>in MW, delle potenze elettriche nominali degli alternatori (ovvero, ove non presenti, dei generatori) che appartengono</w:t>
      </w:r>
      <w:r w:rsidR="00650511">
        <w:rPr>
          <w:iCs/>
          <w:szCs w:val="24"/>
        </w:rPr>
        <w:t xml:space="preserve"> </w:t>
      </w:r>
      <w:r w:rsidRPr="00F74970">
        <w:rPr>
          <w:iCs/>
          <w:szCs w:val="24"/>
        </w:rPr>
        <w:t>all’impianto stesso</w:t>
      </w:r>
      <w:r w:rsidR="00EB6D4B">
        <w:rPr>
          <w:iCs/>
          <w:szCs w:val="24"/>
        </w:rPr>
        <w:t>;</w:t>
      </w:r>
    </w:p>
    <w:p w:rsidR="006A1A8C" w:rsidRDefault="006A1A8C" w:rsidP="00FF03FF">
      <w:pPr>
        <w:pStyle w:val="Paragrafoelenco"/>
        <w:numPr>
          <w:ilvl w:val="0"/>
          <w:numId w:val="26"/>
        </w:numPr>
        <w:suppressAutoHyphens w:val="0"/>
        <w:overflowPunct/>
        <w:autoSpaceDE/>
        <w:autoSpaceDN/>
        <w:adjustRightInd/>
        <w:spacing w:before="100" w:beforeAutospacing="1" w:after="100" w:afterAutospacing="1"/>
        <w:ind w:left="426"/>
        <w:contextualSpacing/>
        <w:textAlignment w:val="auto"/>
        <w:rPr>
          <w:szCs w:val="24"/>
        </w:rPr>
      </w:pPr>
      <w:r w:rsidRPr="00AD7263">
        <w:rPr>
          <w:szCs w:val="24"/>
        </w:rPr>
        <w:t xml:space="preserve">“tariffa di riferimento”: </w:t>
      </w:r>
      <w:r w:rsidRPr="00A66A43">
        <w:rPr>
          <w:szCs w:val="24"/>
        </w:rPr>
        <w:t>tariffa di riferimento</w:t>
      </w:r>
      <w:r>
        <w:rPr>
          <w:szCs w:val="24"/>
        </w:rPr>
        <w:t xml:space="preserve"> posta a base d’asta</w:t>
      </w:r>
      <w:r w:rsidR="00DB0B5D">
        <w:rPr>
          <w:szCs w:val="24"/>
        </w:rPr>
        <w:t xml:space="preserve"> nelle procedure competiti</w:t>
      </w:r>
      <w:r w:rsidR="00AB4B43">
        <w:rPr>
          <w:szCs w:val="24"/>
        </w:rPr>
        <w:t>ve di cui al presente decreto</w:t>
      </w:r>
      <w:r>
        <w:rPr>
          <w:szCs w:val="24"/>
        </w:rPr>
        <w:t>;</w:t>
      </w:r>
    </w:p>
    <w:p w:rsidR="00F222B8" w:rsidRDefault="009A5C64" w:rsidP="00FF03FF">
      <w:pPr>
        <w:pStyle w:val="Paragrafoelenco"/>
        <w:numPr>
          <w:ilvl w:val="0"/>
          <w:numId w:val="26"/>
        </w:numPr>
        <w:suppressAutoHyphens w:val="0"/>
        <w:overflowPunct/>
        <w:autoSpaceDE/>
        <w:autoSpaceDN/>
        <w:adjustRightInd/>
        <w:spacing w:before="240" w:after="240"/>
        <w:ind w:left="425" w:hanging="357"/>
        <w:textAlignment w:val="auto"/>
        <w:rPr>
          <w:szCs w:val="24"/>
        </w:rPr>
      </w:pPr>
      <w:r>
        <w:rPr>
          <w:szCs w:val="24"/>
        </w:rPr>
        <w:t>“</w:t>
      </w:r>
      <w:r w:rsidR="00AB4B43">
        <w:rPr>
          <w:szCs w:val="24"/>
        </w:rPr>
        <w:t>t</w:t>
      </w:r>
      <w:r>
        <w:rPr>
          <w:szCs w:val="24"/>
        </w:rPr>
        <w:t xml:space="preserve">ariffa spettante”: è la tariffa effettivamente attribuita all’impianto, calcolata applicando </w:t>
      </w:r>
      <w:r w:rsidR="009E6F39">
        <w:rPr>
          <w:szCs w:val="24"/>
        </w:rPr>
        <w:t xml:space="preserve">alla tariffa di riferimento, </w:t>
      </w:r>
      <w:r>
        <w:rPr>
          <w:szCs w:val="24"/>
        </w:rPr>
        <w:t>le decurtazioni derivanti dall’offerta di riduzione al ribasso</w:t>
      </w:r>
      <w:r w:rsidR="009E6F39">
        <w:rPr>
          <w:szCs w:val="24"/>
        </w:rPr>
        <w:t>,</w:t>
      </w:r>
      <w:r>
        <w:rPr>
          <w:szCs w:val="24"/>
        </w:rPr>
        <w:t xml:space="preserve"> nonché le altre eventuali riduzioni di cui </w:t>
      </w:r>
      <w:r w:rsidR="00A11EE3">
        <w:rPr>
          <w:szCs w:val="24"/>
        </w:rPr>
        <w:t xml:space="preserve">di cui all’articolo </w:t>
      </w:r>
      <w:r w:rsidR="00E84198">
        <w:rPr>
          <w:szCs w:val="24"/>
        </w:rPr>
        <w:t>7</w:t>
      </w:r>
      <w:r w:rsidR="00A11EE3">
        <w:rPr>
          <w:szCs w:val="24"/>
        </w:rPr>
        <w:t xml:space="preserve"> e all’articolo 12</w:t>
      </w:r>
      <w:r w:rsidR="00AD18FB">
        <w:rPr>
          <w:szCs w:val="24"/>
        </w:rPr>
        <w:t>.</w:t>
      </w:r>
    </w:p>
    <w:p w:rsidR="00820A57" w:rsidRDefault="00820A57" w:rsidP="00FF03FF">
      <w:pPr>
        <w:pStyle w:val="Paragrafoelenco"/>
        <w:numPr>
          <w:ilvl w:val="0"/>
          <w:numId w:val="26"/>
        </w:numPr>
        <w:suppressAutoHyphens w:val="0"/>
        <w:overflowPunct/>
        <w:autoSpaceDE/>
        <w:autoSpaceDN/>
        <w:adjustRightInd/>
        <w:spacing w:before="240" w:after="240"/>
        <w:ind w:left="425" w:hanging="357"/>
        <w:textAlignment w:val="auto"/>
        <w:rPr>
          <w:szCs w:val="24"/>
        </w:rPr>
      </w:pPr>
      <w:r w:rsidRPr="00227ACD">
        <w:rPr>
          <w:szCs w:val="24"/>
        </w:rPr>
        <w:t xml:space="preserve">“impianto </w:t>
      </w:r>
      <w:r w:rsidRPr="003D6B25">
        <w:rPr>
          <w:i/>
          <w:szCs w:val="24"/>
        </w:rPr>
        <w:t>off-shore floating</w:t>
      </w:r>
      <w:r w:rsidRPr="00227ACD">
        <w:rPr>
          <w:szCs w:val="24"/>
        </w:rPr>
        <w:t xml:space="preserve">”: impianti realizzati </w:t>
      </w:r>
      <w:r w:rsidR="00227ACD" w:rsidRPr="00227ACD">
        <w:rPr>
          <w:szCs w:val="24"/>
        </w:rPr>
        <w:t>su</w:t>
      </w:r>
      <w:r w:rsidR="00227ACD">
        <w:rPr>
          <w:szCs w:val="24"/>
        </w:rPr>
        <w:t xml:space="preserve"> piattaforme </w:t>
      </w:r>
      <w:r w:rsidR="00A47F86">
        <w:rPr>
          <w:szCs w:val="24"/>
        </w:rPr>
        <w:t>galleggianti</w:t>
      </w:r>
      <w:r w:rsidR="00227ACD">
        <w:rPr>
          <w:szCs w:val="24"/>
        </w:rPr>
        <w:t xml:space="preserve"> ancorate</w:t>
      </w:r>
      <w:r w:rsidR="0048480A">
        <w:rPr>
          <w:szCs w:val="24"/>
        </w:rPr>
        <w:t xml:space="preserve"> al fondale marino </w:t>
      </w:r>
      <w:r w:rsidR="00227ACD">
        <w:rPr>
          <w:szCs w:val="24"/>
        </w:rPr>
        <w:t xml:space="preserve">tramite </w:t>
      </w:r>
      <w:r w:rsidR="0048480A">
        <w:rPr>
          <w:szCs w:val="24"/>
        </w:rPr>
        <w:t xml:space="preserve">sistemi </w:t>
      </w:r>
      <w:r w:rsidR="00A47F86">
        <w:rPr>
          <w:szCs w:val="24"/>
        </w:rPr>
        <w:t>di cavi</w:t>
      </w:r>
      <w:r w:rsidR="00334237">
        <w:rPr>
          <w:szCs w:val="24"/>
        </w:rPr>
        <w:t xml:space="preserve">, senza ricorso a </w:t>
      </w:r>
      <w:r w:rsidR="00227ACD">
        <w:rPr>
          <w:szCs w:val="24"/>
        </w:rPr>
        <w:t xml:space="preserve">fondazioni </w:t>
      </w:r>
      <w:r w:rsidR="00A47F86">
        <w:rPr>
          <w:szCs w:val="24"/>
        </w:rPr>
        <w:t>fisse;</w:t>
      </w:r>
      <w:r w:rsidR="00227ACD">
        <w:rPr>
          <w:szCs w:val="24"/>
        </w:rPr>
        <w:t xml:space="preserve"> </w:t>
      </w:r>
    </w:p>
    <w:p w:rsidR="0024126F" w:rsidRDefault="00EA493C" w:rsidP="00FF03FF">
      <w:pPr>
        <w:pStyle w:val="Paragrafoelenco"/>
        <w:numPr>
          <w:ilvl w:val="0"/>
          <w:numId w:val="26"/>
        </w:numPr>
        <w:suppressAutoHyphens w:val="0"/>
        <w:overflowPunct/>
        <w:autoSpaceDE/>
        <w:autoSpaceDN/>
        <w:adjustRightInd/>
        <w:spacing w:before="240" w:after="240"/>
        <w:ind w:left="425" w:hanging="357"/>
        <w:textAlignment w:val="auto"/>
        <w:rPr>
          <w:szCs w:val="24"/>
        </w:rPr>
      </w:pPr>
      <w:r>
        <w:rPr>
          <w:szCs w:val="24"/>
        </w:rPr>
        <w:t>“r</w:t>
      </w:r>
      <w:r w:rsidR="0024126F" w:rsidRPr="0024126F">
        <w:rPr>
          <w:szCs w:val="24"/>
        </w:rPr>
        <w:t>ifacimento</w:t>
      </w:r>
      <w:r>
        <w:rPr>
          <w:szCs w:val="24"/>
        </w:rPr>
        <w:t>”</w:t>
      </w:r>
      <w:r w:rsidR="0024126F" w:rsidRPr="0024126F">
        <w:rPr>
          <w:szCs w:val="24"/>
        </w:rPr>
        <w:t>: è l’intervento</w:t>
      </w:r>
      <w:r w:rsidR="00EE34D3">
        <w:rPr>
          <w:szCs w:val="24"/>
        </w:rPr>
        <w:t>, diverso dalla manutenzione ordinaria,</w:t>
      </w:r>
      <w:r w:rsidR="0024126F" w:rsidRPr="0024126F">
        <w:rPr>
          <w:szCs w:val="24"/>
        </w:rPr>
        <w:t xml:space="preserve"> </w:t>
      </w:r>
      <w:r w:rsidR="005E14AE">
        <w:rPr>
          <w:szCs w:val="24"/>
        </w:rPr>
        <w:t>che include</w:t>
      </w:r>
      <w:r w:rsidR="0024126F" w:rsidRPr="0024126F">
        <w:rPr>
          <w:szCs w:val="24"/>
        </w:rPr>
        <w:t xml:space="preserve"> sostituzioni, ricostruzioni e lavori di miglioramento di varia entità e natura, da effettuare su alcuni dei principali macchinari ed opere costituenti l’impianto</w:t>
      </w:r>
      <w:r w:rsidR="0080630C">
        <w:rPr>
          <w:szCs w:val="24"/>
        </w:rPr>
        <w:t xml:space="preserve">, </w:t>
      </w:r>
      <w:r w:rsidR="00972A99">
        <w:rPr>
          <w:szCs w:val="24"/>
        </w:rPr>
        <w:t>realizzato ai fini de</w:t>
      </w:r>
      <w:r w:rsidR="005E14AE" w:rsidRPr="0024126F">
        <w:rPr>
          <w:szCs w:val="24"/>
        </w:rPr>
        <w:t>l mantenimento in piena efficienza produttiva dell’impianto</w:t>
      </w:r>
      <w:r w:rsidR="00972A99">
        <w:rPr>
          <w:szCs w:val="24"/>
        </w:rPr>
        <w:t xml:space="preserve"> secondo le modalità e alle condizioni </w:t>
      </w:r>
      <w:r w:rsidR="00F63538">
        <w:rPr>
          <w:szCs w:val="24"/>
        </w:rPr>
        <w:t>indicate nel</w:t>
      </w:r>
      <w:r w:rsidR="00B6402B">
        <w:rPr>
          <w:szCs w:val="24"/>
        </w:rPr>
        <w:t>l’allegato 2 del</w:t>
      </w:r>
      <w:r w:rsidR="00F63538">
        <w:rPr>
          <w:szCs w:val="24"/>
        </w:rPr>
        <w:t xml:space="preserve"> DM 6 luglio 2012</w:t>
      </w:r>
      <w:r w:rsidR="0080630C">
        <w:rPr>
          <w:szCs w:val="24"/>
        </w:rPr>
        <w:t>.</w:t>
      </w:r>
    </w:p>
    <w:p w:rsidR="008D605F" w:rsidRPr="00C726E9" w:rsidRDefault="008D605F" w:rsidP="00F3067C">
      <w:pPr>
        <w:pStyle w:val="Sottotitolo"/>
        <w:spacing w:before="360" w:after="360"/>
        <w:jc w:val="center"/>
        <w:outlineLvl w:val="1"/>
        <w:rPr>
          <w:b w:val="0"/>
          <w:bCs/>
          <w:i/>
        </w:rPr>
      </w:pPr>
      <w:r w:rsidRPr="001E7ABF">
        <w:t xml:space="preserve">Art. </w:t>
      </w:r>
      <w:r w:rsidR="0099399E">
        <w:t>3</w:t>
      </w:r>
      <w:r w:rsidRPr="003A1739">
        <w:br/>
      </w:r>
      <w:r w:rsidRPr="00C726E9">
        <w:rPr>
          <w:b w:val="0"/>
          <w:bCs/>
          <w:i/>
        </w:rPr>
        <w:t>(Requisiti per</w:t>
      </w:r>
      <w:r w:rsidR="005E5848">
        <w:rPr>
          <w:b w:val="0"/>
          <w:bCs/>
          <w:i/>
        </w:rPr>
        <w:t xml:space="preserve"> la partecipazione alle procedure competitive e</w:t>
      </w:r>
      <w:r w:rsidRPr="00C726E9">
        <w:rPr>
          <w:b w:val="0"/>
          <w:bCs/>
          <w:i/>
        </w:rPr>
        <w:t xml:space="preserve"> l’accesso agli incentivi)</w:t>
      </w:r>
    </w:p>
    <w:p w:rsidR="008D605F" w:rsidRDefault="008D605F" w:rsidP="008D605F">
      <w:pPr>
        <w:pStyle w:val="Nessunaspaziatura"/>
        <w:spacing w:before="240"/>
      </w:pPr>
      <w:r w:rsidRPr="001E7ABF">
        <w:t xml:space="preserve">1. </w:t>
      </w:r>
      <w:r>
        <w:t>Possono accedere alle procedure competitive di cui al presente decreto</w:t>
      </w:r>
      <w:r w:rsidRPr="001E7ABF">
        <w:t xml:space="preserve">, </w:t>
      </w:r>
      <w:r>
        <w:t>gli impianti a fonti rinnovabili che rispettano i seguenti requisiti:</w:t>
      </w:r>
    </w:p>
    <w:p w:rsidR="008D605F" w:rsidRDefault="008D605F" w:rsidP="00342CF7">
      <w:pPr>
        <w:pStyle w:val="Nessunaspaziatura"/>
        <w:numPr>
          <w:ilvl w:val="0"/>
          <w:numId w:val="51"/>
        </w:numPr>
        <w:spacing w:before="240"/>
        <w:ind w:left="426"/>
      </w:pPr>
      <w:r>
        <w:t>possesso</w:t>
      </w:r>
      <w:r w:rsidRPr="001E7ABF">
        <w:t xml:space="preserve"> di</w:t>
      </w:r>
      <w:r>
        <w:t xml:space="preserve"> </w:t>
      </w:r>
      <w:r w:rsidRPr="001E7ABF">
        <w:rPr>
          <w:bCs/>
        </w:rPr>
        <w:t>titolo abilitativo</w:t>
      </w:r>
      <w:r w:rsidRPr="001E7ABF">
        <w:t xml:space="preserve"> alla costruzione e all’esercizio dell’impianto</w:t>
      </w:r>
      <w:r>
        <w:t>;</w:t>
      </w:r>
    </w:p>
    <w:p w:rsidR="008D605F" w:rsidRDefault="008D605F" w:rsidP="00342CF7">
      <w:pPr>
        <w:pStyle w:val="Nessunaspaziatura"/>
        <w:numPr>
          <w:ilvl w:val="0"/>
          <w:numId w:val="51"/>
        </w:numPr>
        <w:ind w:left="426"/>
      </w:pPr>
      <w:r>
        <w:t>preventivo di connessione alla rete elettrica accettato in via definitiva;</w:t>
      </w:r>
    </w:p>
    <w:p w:rsidR="008D605F" w:rsidRDefault="008D605F" w:rsidP="00342CF7">
      <w:pPr>
        <w:pStyle w:val="Nessunaspaziatura"/>
        <w:numPr>
          <w:ilvl w:val="0"/>
          <w:numId w:val="51"/>
        </w:numPr>
        <w:ind w:left="426"/>
      </w:pPr>
      <w:r>
        <w:t>rispetto dei requisiti minimi ambientali e prestazionali di cui all’allegato 2;</w:t>
      </w:r>
    </w:p>
    <w:p w:rsidR="008D605F" w:rsidRDefault="008D605F" w:rsidP="00342CF7">
      <w:pPr>
        <w:pStyle w:val="Nessunaspaziatura"/>
        <w:numPr>
          <w:ilvl w:val="0"/>
          <w:numId w:val="51"/>
        </w:numPr>
        <w:ind w:left="426"/>
      </w:pPr>
      <w:r>
        <w:t>rispetto dei seguenti requisiti dimensionali e costruttivi:</w:t>
      </w:r>
    </w:p>
    <w:p w:rsidR="008D605F" w:rsidRPr="00C726E9" w:rsidRDefault="00113B1D" w:rsidP="00113B1D">
      <w:pPr>
        <w:pStyle w:val="Nessunaspaziatura"/>
        <w:ind w:left="426"/>
      </w:pPr>
      <w:r>
        <w:t xml:space="preserve">1) </w:t>
      </w:r>
      <w:r w:rsidR="008D605F" w:rsidRPr="00116FAE">
        <w:t>impianti a biogas</w:t>
      </w:r>
      <w:r w:rsidR="000A2010">
        <w:t xml:space="preserve"> e biomasse</w:t>
      </w:r>
      <w:r w:rsidR="008D605F" w:rsidRPr="0043378F">
        <w:t xml:space="preserve">: </w:t>
      </w:r>
      <w:r w:rsidR="008D605F" w:rsidRPr="00C726E9">
        <w:rPr>
          <w:szCs w:val="24"/>
        </w:rPr>
        <w:t xml:space="preserve">potenza </w:t>
      </w:r>
      <w:r w:rsidR="008D605F">
        <w:rPr>
          <w:szCs w:val="24"/>
        </w:rPr>
        <w:t xml:space="preserve">nominale </w:t>
      </w:r>
      <w:r w:rsidR="008D605F" w:rsidRPr="00C726E9">
        <w:rPr>
          <w:szCs w:val="24"/>
        </w:rPr>
        <w:t>non superiore a 300 kW elettrici;</w:t>
      </w:r>
    </w:p>
    <w:p w:rsidR="008D605F" w:rsidRPr="00116FAE" w:rsidRDefault="00113B1D" w:rsidP="00113B1D">
      <w:pPr>
        <w:pStyle w:val="Nessunaspaziatura"/>
        <w:ind w:left="426"/>
      </w:pPr>
      <w:r>
        <w:rPr>
          <w:szCs w:val="24"/>
        </w:rPr>
        <w:t xml:space="preserve">2) </w:t>
      </w:r>
      <w:r w:rsidR="008D605F">
        <w:rPr>
          <w:szCs w:val="24"/>
        </w:rPr>
        <w:t>impianti solari termodinamici: potenza non superiore a 5.000 kW elettrici;</w:t>
      </w:r>
    </w:p>
    <w:p w:rsidR="008D605F" w:rsidRPr="005E5848" w:rsidRDefault="00113B1D" w:rsidP="00113B1D">
      <w:pPr>
        <w:pStyle w:val="Nessunaspaziatura"/>
        <w:ind w:left="426"/>
      </w:pPr>
      <w:r>
        <w:rPr>
          <w:szCs w:val="24"/>
        </w:rPr>
        <w:t xml:space="preserve">3) </w:t>
      </w:r>
      <w:r w:rsidR="008D605F">
        <w:rPr>
          <w:szCs w:val="24"/>
        </w:rPr>
        <w:t>impianti eol</w:t>
      </w:r>
      <w:r w:rsidR="008D605F" w:rsidRPr="005E5848">
        <w:rPr>
          <w:szCs w:val="24"/>
        </w:rPr>
        <w:t xml:space="preserve">ici </w:t>
      </w:r>
      <w:r w:rsidR="008D605F" w:rsidRPr="005E5848">
        <w:rPr>
          <w:i/>
          <w:szCs w:val="24"/>
        </w:rPr>
        <w:t>off-shore</w:t>
      </w:r>
      <w:r w:rsidR="008D605F" w:rsidRPr="005E5848">
        <w:rPr>
          <w:szCs w:val="24"/>
        </w:rPr>
        <w:t>: utilizzo della tecnologia galleggiante</w:t>
      </w:r>
      <w:r w:rsidR="00597CB9" w:rsidRPr="005E5848">
        <w:rPr>
          <w:szCs w:val="24"/>
        </w:rPr>
        <w:t>-</w:t>
      </w:r>
      <w:r w:rsidR="00597CB9" w:rsidRPr="005E5848">
        <w:rPr>
          <w:i/>
          <w:szCs w:val="24"/>
        </w:rPr>
        <w:t>floating</w:t>
      </w:r>
      <w:r w:rsidR="00562EB3" w:rsidRPr="005E5848">
        <w:rPr>
          <w:szCs w:val="24"/>
        </w:rPr>
        <w:t>.</w:t>
      </w:r>
    </w:p>
    <w:p w:rsidR="008D605F" w:rsidRPr="005E5848" w:rsidRDefault="008D605F" w:rsidP="00A93AFD">
      <w:pPr>
        <w:pStyle w:val="Nessunaspaziatura"/>
        <w:spacing w:before="240"/>
      </w:pPr>
      <w:r w:rsidRPr="005E5848">
        <w:lastRenderedPageBreak/>
        <w:t xml:space="preserve">2. Su richiesta del produttore, in luogo della documentazione di cui al comma 1, lettere a) è possibile accedere alle procedure competitive presentando </w:t>
      </w:r>
      <w:r w:rsidR="0094387C" w:rsidRPr="005E5848">
        <w:t xml:space="preserve">il </w:t>
      </w:r>
      <w:r w:rsidR="0094387C" w:rsidRPr="00E02244">
        <w:t>provvedimento</w:t>
      </w:r>
      <w:r w:rsidR="005E5848" w:rsidRPr="00E02244">
        <w:t xml:space="preserve"> favorevole</w:t>
      </w:r>
      <w:r w:rsidR="0094387C" w:rsidRPr="00E02244">
        <w:t xml:space="preserve"> di</w:t>
      </w:r>
      <w:r w:rsidR="00A93AFD" w:rsidRPr="00E02244">
        <w:t xml:space="preserve"> </w:t>
      </w:r>
      <w:r w:rsidRPr="00E02244">
        <w:t>valutazione di impatto ambientale</w:t>
      </w:r>
      <w:r w:rsidRPr="005E5848">
        <w:t>.</w:t>
      </w:r>
    </w:p>
    <w:p w:rsidR="00377937" w:rsidRDefault="00377937" w:rsidP="00377937">
      <w:pPr>
        <w:spacing w:before="240"/>
        <w:rPr>
          <w:szCs w:val="24"/>
        </w:rPr>
      </w:pPr>
      <w:r w:rsidRPr="005E5848">
        <w:rPr>
          <w:szCs w:val="24"/>
        </w:rPr>
        <w:t>3. Non è consentito</w:t>
      </w:r>
      <w:r w:rsidRPr="00943CDA">
        <w:rPr>
          <w:szCs w:val="24"/>
        </w:rPr>
        <w:t xml:space="preserve"> l’accesso agli incentivi di cui al presente decreto</w:t>
      </w:r>
      <w:r>
        <w:rPr>
          <w:szCs w:val="24"/>
        </w:rPr>
        <w:t>:</w:t>
      </w:r>
    </w:p>
    <w:p w:rsidR="00377937" w:rsidRPr="005E5848" w:rsidRDefault="00377937" w:rsidP="00377937">
      <w:pPr>
        <w:pStyle w:val="Paragrafoelenco"/>
        <w:numPr>
          <w:ilvl w:val="0"/>
          <w:numId w:val="37"/>
        </w:numPr>
        <w:spacing w:before="240"/>
        <w:ind w:left="567"/>
      </w:pPr>
      <w:r>
        <w:t xml:space="preserve">alle imprese in difficoltà secondo la definizione riportata nella Comunicazione della Commissione Orientamenti sugli aiuti di Stato per il salvataggio e la ristrutturazione di imprese non finanziarie </w:t>
      </w:r>
      <w:r w:rsidRPr="005E5848">
        <w:t>in difficoltà</w:t>
      </w:r>
      <w:r w:rsidR="005E5848" w:rsidRPr="005E5848">
        <w:t xml:space="preserve">, pubblicata nella Gazzetta Ufficiale dell’Unione europea </w:t>
      </w:r>
      <w:r w:rsidR="005E5848" w:rsidRPr="00A5316E">
        <w:t>C</w:t>
      </w:r>
      <w:r w:rsidR="005E5848" w:rsidRPr="005E5848">
        <w:t xml:space="preserve"> 249 del 31 luglio 2014</w:t>
      </w:r>
      <w:r w:rsidRPr="005E5848">
        <w:t xml:space="preserve">; </w:t>
      </w:r>
    </w:p>
    <w:p w:rsidR="00377937" w:rsidRDefault="00377937" w:rsidP="00377937">
      <w:pPr>
        <w:pStyle w:val="Paragrafoelenco"/>
        <w:numPr>
          <w:ilvl w:val="0"/>
          <w:numId w:val="37"/>
        </w:numPr>
        <w:ind w:left="567"/>
      </w:pPr>
      <w:r w:rsidRPr="005E5848">
        <w:t>ai soggetti rich</w:t>
      </w:r>
      <w:r>
        <w:t>iedenti per i quali ricorre una delle cause di esclusione di cui all</w:t>
      </w:r>
      <w:r w:rsidR="00D263DD">
        <w:t>’</w:t>
      </w:r>
      <w:r>
        <w:t>articolo 80 del decreto legislativo</w:t>
      </w:r>
      <w:r w:rsidR="00996ACD">
        <w:t xml:space="preserve"> 18 aprile 2016,</w:t>
      </w:r>
      <w:r>
        <w:t xml:space="preserve"> n. 50;</w:t>
      </w:r>
    </w:p>
    <w:p w:rsidR="00377937" w:rsidRPr="00F3067C" w:rsidRDefault="00377937" w:rsidP="00377937">
      <w:pPr>
        <w:pStyle w:val="Paragrafoelenco"/>
        <w:numPr>
          <w:ilvl w:val="0"/>
          <w:numId w:val="37"/>
        </w:numPr>
        <w:ind w:left="567"/>
        <w:rPr>
          <w:szCs w:val="24"/>
        </w:rPr>
      </w:pPr>
      <w:r w:rsidRPr="00F3067C">
        <w:rPr>
          <w:szCs w:val="24"/>
        </w:rPr>
        <w:t>alle imprese nei confronti delle quali pende un ordine di recupero per effetto di una precedente decisione della Commissione Europea che abbia dichiarato gli incentivi percepiti illegali e incompatibili con il mercato interno.</w:t>
      </w:r>
    </w:p>
    <w:p w:rsidR="0024462C" w:rsidRDefault="00377937" w:rsidP="00342CF7">
      <w:pPr>
        <w:tabs>
          <w:tab w:val="left" w:pos="1710"/>
        </w:tabs>
        <w:suppressAutoHyphens w:val="0"/>
        <w:overflowPunct/>
        <w:autoSpaceDE/>
        <w:autoSpaceDN/>
        <w:adjustRightInd/>
        <w:spacing w:before="240"/>
        <w:textAlignment w:val="auto"/>
      </w:pPr>
      <w:r>
        <w:t>4</w:t>
      </w:r>
      <w:r w:rsidR="00BA3AE6">
        <w:t xml:space="preserve">. </w:t>
      </w:r>
      <w:r w:rsidR="00E46B32">
        <w:t xml:space="preserve">Non </w:t>
      </w:r>
      <w:r w:rsidR="00AA594C">
        <w:t>è consent</w:t>
      </w:r>
      <w:r w:rsidR="005E5848">
        <w:t>it</w:t>
      </w:r>
      <w:r w:rsidR="00E15AEA">
        <w:t>o</w:t>
      </w:r>
      <w:r w:rsidR="00AA594C">
        <w:t xml:space="preserve"> l’accesso agli </w:t>
      </w:r>
      <w:r w:rsidR="00BA3AE6">
        <w:t xml:space="preserve">incentivi di cui al presente decreto </w:t>
      </w:r>
      <w:r w:rsidR="00DC0F38">
        <w:t>a</w:t>
      </w:r>
      <w:r w:rsidR="005D629B">
        <w:t xml:space="preserve">gli impianti che hanno iniziato i lavori di realizzazione </w:t>
      </w:r>
      <w:r w:rsidR="00852D24">
        <w:t>prima</w:t>
      </w:r>
      <w:r w:rsidR="00C456A4">
        <w:t xml:space="preserve"> di aver</w:t>
      </w:r>
      <w:r w:rsidR="005E5848">
        <w:t xml:space="preserve"> presentato istanza di partecipazione alle procedure competitive di cui al presente decreto</w:t>
      </w:r>
      <w:r w:rsidR="00A24E92">
        <w:t>.</w:t>
      </w:r>
    </w:p>
    <w:p w:rsidR="00883430" w:rsidRPr="00C726E9" w:rsidRDefault="00883430" w:rsidP="00F3067C">
      <w:pPr>
        <w:pStyle w:val="Sottotitolo"/>
        <w:spacing w:before="360" w:after="360"/>
        <w:jc w:val="center"/>
        <w:outlineLvl w:val="1"/>
        <w:rPr>
          <w:b w:val="0"/>
          <w:bCs/>
        </w:rPr>
      </w:pPr>
      <w:bookmarkStart w:id="4" w:name="_Toc8978888"/>
      <w:r w:rsidRPr="001E7ABF">
        <w:t xml:space="preserve">Art. </w:t>
      </w:r>
      <w:bookmarkEnd w:id="4"/>
      <w:r w:rsidR="0099399E">
        <w:t>4</w:t>
      </w:r>
      <w:r w:rsidR="00171413" w:rsidRPr="003A1739">
        <w:br/>
      </w:r>
      <w:r w:rsidR="00696907" w:rsidRPr="00C726E9">
        <w:rPr>
          <w:b w:val="0"/>
          <w:bCs/>
          <w:i/>
        </w:rPr>
        <w:t>(</w:t>
      </w:r>
      <w:r w:rsidR="008778FF">
        <w:rPr>
          <w:b w:val="0"/>
          <w:bCs/>
          <w:i/>
        </w:rPr>
        <w:t>Procedure</w:t>
      </w:r>
      <w:r w:rsidR="008778FF" w:rsidRPr="00C726E9">
        <w:rPr>
          <w:b w:val="0"/>
          <w:bCs/>
          <w:i/>
        </w:rPr>
        <w:t xml:space="preserve"> </w:t>
      </w:r>
      <w:r w:rsidR="008B5E48" w:rsidRPr="00C726E9">
        <w:rPr>
          <w:b w:val="0"/>
          <w:bCs/>
          <w:i/>
        </w:rPr>
        <w:t>per l’accesso agli</w:t>
      </w:r>
      <w:r w:rsidR="00696907" w:rsidRPr="00C726E9">
        <w:rPr>
          <w:b w:val="0"/>
          <w:bCs/>
          <w:i/>
        </w:rPr>
        <w:t xml:space="preserve"> incentivi)</w:t>
      </w:r>
    </w:p>
    <w:p w:rsidR="00122C28" w:rsidRDefault="00F52C78" w:rsidP="00F52C78">
      <w:pPr>
        <w:pStyle w:val="Nessunaspaziatura"/>
        <w:spacing w:before="240" w:after="240"/>
        <w:rPr>
          <w:iCs/>
          <w:szCs w:val="24"/>
        </w:rPr>
      </w:pPr>
      <w:r w:rsidRPr="001E7ABF">
        <w:rPr>
          <w:iCs/>
          <w:szCs w:val="24"/>
        </w:rPr>
        <w:t xml:space="preserve">1. </w:t>
      </w:r>
      <w:r w:rsidR="00122C28">
        <w:rPr>
          <w:szCs w:val="24"/>
        </w:rPr>
        <w:t>L’accesso agli incentivi</w:t>
      </w:r>
      <w:r w:rsidR="00AC60CD">
        <w:rPr>
          <w:szCs w:val="24"/>
        </w:rPr>
        <w:t xml:space="preserve"> di cui al presente decreto</w:t>
      </w:r>
      <w:r w:rsidR="00122C28">
        <w:rPr>
          <w:szCs w:val="24"/>
        </w:rPr>
        <w:t xml:space="preserve"> avviene </w:t>
      </w:r>
      <w:r w:rsidR="0068101F">
        <w:rPr>
          <w:szCs w:val="24"/>
        </w:rPr>
        <w:t>attraverso la partecipazione a</w:t>
      </w:r>
      <w:r w:rsidR="00122C28" w:rsidRPr="00A66A43">
        <w:rPr>
          <w:szCs w:val="24"/>
        </w:rPr>
        <w:t xml:space="preserve"> procedure </w:t>
      </w:r>
      <w:r w:rsidR="00885C19" w:rsidRPr="00A66A43">
        <w:rPr>
          <w:szCs w:val="24"/>
        </w:rPr>
        <w:t>pubbliche</w:t>
      </w:r>
      <w:r w:rsidR="00885C19">
        <w:rPr>
          <w:szCs w:val="24"/>
        </w:rPr>
        <w:t xml:space="preserve"> </w:t>
      </w:r>
      <w:r w:rsidR="00122C28" w:rsidRPr="00A66A43">
        <w:rPr>
          <w:szCs w:val="24"/>
        </w:rPr>
        <w:t>competitive</w:t>
      </w:r>
      <w:r w:rsidR="0068101F">
        <w:rPr>
          <w:szCs w:val="24"/>
        </w:rPr>
        <w:t>,</w:t>
      </w:r>
      <w:r w:rsidR="00AC7622">
        <w:rPr>
          <w:szCs w:val="24"/>
        </w:rPr>
        <w:t xml:space="preserve"> </w:t>
      </w:r>
      <w:r w:rsidR="0068101F">
        <w:rPr>
          <w:szCs w:val="24"/>
        </w:rPr>
        <w:t>bandite</w:t>
      </w:r>
      <w:r w:rsidR="00AC7622">
        <w:rPr>
          <w:szCs w:val="24"/>
        </w:rPr>
        <w:t xml:space="preserve"> </w:t>
      </w:r>
      <w:r w:rsidR="0076240D">
        <w:rPr>
          <w:szCs w:val="24"/>
        </w:rPr>
        <w:t xml:space="preserve">dal GSE </w:t>
      </w:r>
      <w:r w:rsidR="00AC7622">
        <w:rPr>
          <w:szCs w:val="24"/>
        </w:rPr>
        <w:t>nel quinquennio 2022-2026,</w:t>
      </w:r>
      <w:r w:rsidR="00122C28" w:rsidRPr="00A66A43">
        <w:rPr>
          <w:szCs w:val="24"/>
        </w:rPr>
        <w:t xml:space="preserve"> </w:t>
      </w:r>
      <w:r w:rsidR="00122C28">
        <w:rPr>
          <w:szCs w:val="24"/>
        </w:rPr>
        <w:t xml:space="preserve">in cui vengono messi a disposizione, periodicamente, contingenti di </w:t>
      </w:r>
      <w:r w:rsidR="0068101F">
        <w:rPr>
          <w:szCs w:val="24"/>
        </w:rPr>
        <w:t>potenza</w:t>
      </w:r>
      <w:r w:rsidR="00885C19">
        <w:rPr>
          <w:szCs w:val="24"/>
        </w:rPr>
        <w:t>.</w:t>
      </w:r>
    </w:p>
    <w:p w:rsidR="00BA2AAF" w:rsidRDefault="00BA2AAF" w:rsidP="00BA2AAF">
      <w:pPr>
        <w:rPr>
          <w:szCs w:val="24"/>
        </w:rPr>
      </w:pPr>
      <w:r>
        <w:rPr>
          <w:szCs w:val="24"/>
        </w:rPr>
        <w:t>2. Le</w:t>
      </w:r>
      <w:r w:rsidRPr="0040016F">
        <w:rPr>
          <w:szCs w:val="24"/>
        </w:rPr>
        <w:t xml:space="preserve"> procedure </w:t>
      </w:r>
      <w:r>
        <w:rPr>
          <w:szCs w:val="24"/>
        </w:rPr>
        <w:t xml:space="preserve">competitive </w:t>
      </w:r>
      <w:r w:rsidRPr="0040016F">
        <w:rPr>
          <w:szCs w:val="24"/>
        </w:rPr>
        <w:t xml:space="preserve">si svolgono in forma telematica nel rispetto dei principi di trasparenza, pubblicità, tutela della concorrenza e secondo modalità non discriminatorie. </w:t>
      </w:r>
    </w:p>
    <w:p w:rsidR="00B80FA7" w:rsidRDefault="00BA2AAF" w:rsidP="00F3067C">
      <w:pPr>
        <w:spacing w:before="240"/>
        <w:rPr>
          <w:szCs w:val="24"/>
        </w:rPr>
      </w:pPr>
      <w:r>
        <w:rPr>
          <w:szCs w:val="24"/>
        </w:rPr>
        <w:t>3</w:t>
      </w:r>
      <w:r w:rsidR="00B80FA7">
        <w:rPr>
          <w:szCs w:val="24"/>
        </w:rPr>
        <w:t>. Ai fini dell’accesso alle procedure competitive</w:t>
      </w:r>
      <w:r w:rsidR="00B80FA7" w:rsidRPr="00A66A43">
        <w:rPr>
          <w:szCs w:val="24"/>
        </w:rPr>
        <w:t xml:space="preserve">, </w:t>
      </w:r>
      <w:r w:rsidR="00B80FA7">
        <w:rPr>
          <w:szCs w:val="24"/>
        </w:rPr>
        <w:t>gli impianti</w:t>
      </w:r>
      <w:r w:rsidR="00B80FA7" w:rsidRPr="00A66A43">
        <w:rPr>
          <w:szCs w:val="24"/>
        </w:rPr>
        <w:t xml:space="preserve"> </w:t>
      </w:r>
      <w:r w:rsidR="00B80FA7">
        <w:rPr>
          <w:szCs w:val="24"/>
        </w:rPr>
        <w:t>devono possedere i requisiti</w:t>
      </w:r>
      <w:r w:rsidR="00B96117">
        <w:rPr>
          <w:szCs w:val="24"/>
        </w:rPr>
        <w:t xml:space="preserve"> prestazionali e </w:t>
      </w:r>
      <w:r w:rsidR="00B80FA7">
        <w:rPr>
          <w:szCs w:val="24"/>
        </w:rPr>
        <w:t xml:space="preserve">di tutela ambientale </w:t>
      </w:r>
      <w:r w:rsidR="00782552">
        <w:rPr>
          <w:szCs w:val="24"/>
        </w:rPr>
        <w:t xml:space="preserve">di </w:t>
      </w:r>
      <w:r w:rsidR="00342CF7">
        <w:rPr>
          <w:szCs w:val="24"/>
        </w:rPr>
        <w:t>cui all’A</w:t>
      </w:r>
      <w:r w:rsidR="00B80FA7">
        <w:rPr>
          <w:szCs w:val="24"/>
        </w:rPr>
        <w:t xml:space="preserve">llegato </w:t>
      </w:r>
      <w:r w:rsidR="006B792A">
        <w:rPr>
          <w:szCs w:val="24"/>
        </w:rPr>
        <w:t>2</w:t>
      </w:r>
      <w:r w:rsidR="00B80FA7">
        <w:rPr>
          <w:szCs w:val="24"/>
        </w:rPr>
        <w:t xml:space="preserve"> e i soggetti richiedenti devono offrire</w:t>
      </w:r>
      <w:r w:rsidR="00B80FA7" w:rsidRPr="00A66A43">
        <w:rPr>
          <w:szCs w:val="24"/>
        </w:rPr>
        <w:t>, nell</w:t>
      </w:r>
      <w:r w:rsidR="00B80FA7">
        <w:rPr>
          <w:szCs w:val="24"/>
        </w:rPr>
        <w:t>’istanza</w:t>
      </w:r>
      <w:r w:rsidR="00B80FA7" w:rsidRPr="00A66A43">
        <w:rPr>
          <w:szCs w:val="24"/>
        </w:rPr>
        <w:t xml:space="preserve"> di partecipazione, </w:t>
      </w:r>
      <w:r w:rsidR="00B80FA7">
        <w:rPr>
          <w:szCs w:val="24"/>
        </w:rPr>
        <w:t>una</w:t>
      </w:r>
      <w:r w:rsidR="00B80FA7" w:rsidRPr="00A66A43">
        <w:rPr>
          <w:szCs w:val="24"/>
        </w:rPr>
        <w:t xml:space="preserve"> riduzione percentuale sulla tariffa di riferimento</w:t>
      </w:r>
      <w:r w:rsidR="00B80FA7">
        <w:rPr>
          <w:szCs w:val="24"/>
        </w:rPr>
        <w:t>, comunque</w:t>
      </w:r>
      <w:r w:rsidR="00B80FA7" w:rsidRPr="00A66A43">
        <w:rPr>
          <w:szCs w:val="24"/>
        </w:rPr>
        <w:t xml:space="preserve"> non inferiore al 2%.</w:t>
      </w:r>
      <w:r w:rsidR="00B80FA7">
        <w:rPr>
          <w:szCs w:val="24"/>
        </w:rPr>
        <w:t xml:space="preserve"> </w:t>
      </w:r>
    </w:p>
    <w:p w:rsidR="00BA2AAF" w:rsidRPr="0036684A" w:rsidRDefault="00157B93" w:rsidP="00F3067C">
      <w:pPr>
        <w:spacing w:before="240"/>
        <w:rPr>
          <w:bCs/>
          <w:szCs w:val="24"/>
        </w:rPr>
      </w:pPr>
      <w:r>
        <w:rPr>
          <w:bCs/>
          <w:szCs w:val="24"/>
        </w:rPr>
        <w:t>4</w:t>
      </w:r>
      <w:r w:rsidR="00BA2AAF" w:rsidRPr="0036684A">
        <w:rPr>
          <w:bCs/>
          <w:szCs w:val="24"/>
        </w:rPr>
        <w:t xml:space="preserve">. </w:t>
      </w:r>
      <w:r w:rsidR="00BA2AAF" w:rsidRPr="008B49CB">
        <w:rPr>
          <w:bCs/>
          <w:szCs w:val="24"/>
        </w:rPr>
        <w:t xml:space="preserve">Per le procedure svolte nel 2022, le tariffe di riferimento poste a base d’asta sono quelle indicate </w:t>
      </w:r>
      <w:r w:rsidR="00342CF7" w:rsidRPr="008B49CB">
        <w:rPr>
          <w:bCs/>
          <w:szCs w:val="24"/>
        </w:rPr>
        <w:t>a</w:t>
      </w:r>
      <w:r w:rsidR="00BA2AAF" w:rsidRPr="008B49CB">
        <w:rPr>
          <w:bCs/>
          <w:szCs w:val="24"/>
        </w:rPr>
        <w:t>ll’</w:t>
      </w:r>
      <w:r w:rsidR="00342CF7" w:rsidRPr="008B49CB">
        <w:rPr>
          <w:bCs/>
          <w:szCs w:val="24"/>
        </w:rPr>
        <w:t>Al</w:t>
      </w:r>
      <w:r w:rsidR="00BA2AAF" w:rsidRPr="008B49CB">
        <w:rPr>
          <w:bCs/>
          <w:szCs w:val="24"/>
        </w:rPr>
        <w:t>legato 1. Per gli anni successivi, le tariffe poste a base d’asta sono quelle di cui all’</w:t>
      </w:r>
      <w:r w:rsidR="00342CF7" w:rsidRPr="008B49CB">
        <w:rPr>
          <w:bCs/>
          <w:szCs w:val="24"/>
        </w:rPr>
        <w:t>A</w:t>
      </w:r>
      <w:r w:rsidR="00BA2AAF" w:rsidRPr="008B49CB">
        <w:rPr>
          <w:bCs/>
          <w:szCs w:val="24"/>
        </w:rPr>
        <w:t xml:space="preserve">llegato 1, ridotte del </w:t>
      </w:r>
      <w:r w:rsidR="00057CE7" w:rsidRPr="008B49CB">
        <w:rPr>
          <w:b/>
          <w:szCs w:val="24"/>
        </w:rPr>
        <w:t>3</w:t>
      </w:r>
      <w:r w:rsidR="00BA2AAF" w:rsidRPr="008B49CB">
        <w:rPr>
          <w:b/>
          <w:szCs w:val="24"/>
        </w:rPr>
        <w:t>%</w:t>
      </w:r>
      <w:r w:rsidR="00BA2AAF" w:rsidRPr="008B49CB">
        <w:rPr>
          <w:bCs/>
          <w:szCs w:val="24"/>
        </w:rPr>
        <w:t xml:space="preserve"> all’anno.</w:t>
      </w:r>
    </w:p>
    <w:p w:rsidR="00190DA1" w:rsidRDefault="00157B93" w:rsidP="00342CF7">
      <w:pPr>
        <w:spacing w:before="240" w:after="480"/>
        <w:rPr>
          <w:szCs w:val="24"/>
        </w:rPr>
      </w:pPr>
      <w:r>
        <w:rPr>
          <w:iCs/>
          <w:szCs w:val="24"/>
        </w:rPr>
        <w:t>5</w:t>
      </w:r>
      <w:r w:rsidR="00190DA1">
        <w:rPr>
          <w:iCs/>
          <w:szCs w:val="24"/>
        </w:rPr>
        <w:t>.</w:t>
      </w:r>
      <w:r w:rsidR="00190DA1" w:rsidRPr="009F7F6A">
        <w:rPr>
          <w:szCs w:val="24"/>
        </w:rPr>
        <w:t xml:space="preserve"> </w:t>
      </w:r>
      <w:r w:rsidR="00190DA1" w:rsidRPr="00A66A43">
        <w:rPr>
          <w:szCs w:val="24"/>
        </w:rPr>
        <w:t xml:space="preserve">I contingenti di </w:t>
      </w:r>
      <w:r w:rsidR="00190DA1">
        <w:rPr>
          <w:szCs w:val="24"/>
        </w:rPr>
        <w:t>potenza</w:t>
      </w:r>
      <w:r w:rsidR="00190DA1" w:rsidRPr="00A66A43">
        <w:rPr>
          <w:szCs w:val="24"/>
        </w:rPr>
        <w:t xml:space="preserve"> </w:t>
      </w:r>
      <w:r w:rsidR="00190DA1">
        <w:rPr>
          <w:szCs w:val="24"/>
        </w:rPr>
        <w:t>complessivamente</w:t>
      </w:r>
      <w:r w:rsidR="00190DA1" w:rsidRPr="00A66A43">
        <w:rPr>
          <w:szCs w:val="24"/>
        </w:rPr>
        <w:t xml:space="preserve"> resi disponibili nelle procedure </w:t>
      </w:r>
      <w:r w:rsidR="00190DA1">
        <w:rPr>
          <w:szCs w:val="24"/>
        </w:rPr>
        <w:t xml:space="preserve">competitive </w:t>
      </w:r>
      <w:r w:rsidR="00190DA1" w:rsidRPr="00A66A43">
        <w:rPr>
          <w:szCs w:val="24"/>
        </w:rPr>
        <w:t>sono individuati nella tabella 1.</w:t>
      </w:r>
    </w:p>
    <w:tbl>
      <w:tblPr>
        <w:tblStyle w:val="Grigliatabella"/>
        <w:tblW w:w="8925" w:type="dxa"/>
        <w:jc w:val="center"/>
        <w:tblLayout w:type="fixed"/>
        <w:tblCellMar>
          <w:left w:w="57" w:type="dxa"/>
          <w:right w:w="57" w:type="dxa"/>
        </w:tblCellMar>
        <w:tblLook w:val="04A0" w:firstRow="1" w:lastRow="0" w:firstColumn="1" w:lastColumn="0" w:noHBand="0" w:noVBand="1"/>
      </w:tblPr>
      <w:tblGrid>
        <w:gridCol w:w="1696"/>
        <w:gridCol w:w="2552"/>
        <w:gridCol w:w="1559"/>
        <w:gridCol w:w="1559"/>
        <w:gridCol w:w="1559"/>
      </w:tblGrid>
      <w:tr w:rsidR="001403FD" w:rsidRPr="001E7ABF" w:rsidTr="00342CF7">
        <w:trPr>
          <w:cantSplit/>
          <w:trHeight w:val="605"/>
          <w:jc w:val="center"/>
        </w:trPr>
        <w:tc>
          <w:tcPr>
            <w:tcW w:w="1696" w:type="dxa"/>
            <w:vAlign w:val="center"/>
          </w:tcPr>
          <w:p w:rsidR="001403FD" w:rsidRPr="001E7ABF" w:rsidRDefault="001403FD" w:rsidP="00342CF7">
            <w:pPr>
              <w:pStyle w:val="Nessunaspaziatura"/>
              <w:jc w:val="center"/>
              <w:rPr>
                <w:b/>
                <w:sz w:val="20"/>
              </w:rPr>
            </w:pPr>
            <w:r>
              <w:rPr>
                <w:b/>
                <w:sz w:val="20"/>
              </w:rPr>
              <w:t>Procedura</w:t>
            </w:r>
          </w:p>
        </w:tc>
        <w:tc>
          <w:tcPr>
            <w:tcW w:w="2552" w:type="dxa"/>
            <w:vAlign w:val="center"/>
          </w:tcPr>
          <w:p w:rsidR="001403FD" w:rsidRPr="001E7ABF" w:rsidRDefault="001403FD" w:rsidP="00342CF7">
            <w:pPr>
              <w:pStyle w:val="Nessunaspaziatura"/>
              <w:jc w:val="center"/>
              <w:rPr>
                <w:b/>
                <w:sz w:val="20"/>
              </w:rPr>
            </w:pPr>
            <w:r>
              <w:rPr>
                <w:b/>
                <w:sz w:val="20"/>
              </w:rPr>
              <w:t>Tipologia di impianto</w:t>
            </w:r>
          </w:p>
        </w:tc>
        <w:tc>
          <w:tcPr>
            <w:tcW w:w="1559" w:type="dxa"/>
            <w:vAlign w:val="center"/>
          </w:tcPr>
          <w:p w:rsidR="001403FD" w:rsidRPr="001E7ABF" w:rsidRDefault="001403FD" w:rsidP="00342CF7">
            <w:pPr>
              <w:pStyle w:val="Nessunaspaziatura"/>
              <w:jc w:val="center"/>
              <w:rPr>
                <w:b/>
                <w:sz w:val="20"/>
              </w:rPr>
            </w:pPr>
            <w:r>
              <w:rPr>
                <w:b/>
                <w:sz w:val="20"/>
              </w:rPr>
              <w:t>Categoria</w:t>
            </w:r>
          </w:p>
        </w:tc>
        <w:tc>
          <w:tcPr>
            <w:tcW w:w="1559" w:type="dxa"/>
            <w:vAlign w:val="center"/>
          </w:tcPr>
          <w:p w:rsidR="001403FD" w:rsidRDefault="001403FD" w:rsidP="00342CF7">
            <w:pPr>
              <w:pStyle w:val="Nessunaspaziatura"/>
              <w:jc w:val="center"/>
              <w:rPr>
                <w:b/>
                <w:sz w:val="20"/>
              </w:rPr>
            </w:pPr>
            <w:r>
              <w:rPr>
                <w:b/>
                <w:sz w:val="20"/>
              </w:rPr>
              <w:t>Potenza</w:t>
            </w:r>
          </w:p>
          <w:p w:rsidR="007C2CAD" w:rsidRDefault="007C2CAD" w:rsidP="00342CF7">
            <w:pPr>
              <w:pStyle w:val="Nessunaspaziatura"/>
              <w:jc w:val="center"/>
              <w:rPr>
                <w:b/>
                <w:sz w:val="20"/>
              </w:rPr>
            </w:pPr>
          </w:p>
          <w:p w:rsidR="007C2CAD" w:rsidRPr="001E7ABF" w:rsidRDefault="007C2CAD" w:rsidP="00342CF7">
            <w:pPr>
              <w:pStyle w:val="Nessunaspaziatura"/>
              <w:jc w:val="center"/>
              <w:rPr>
                <w:b/>
                <w:sz w:val="20"/>
              </w:rPr>
            </w:pPr>
            <w:r>
              <w:rPr>
                <w:b/>
                <w:sz w:val="20"/>
              </w:rPr>
              <w:t>[kW]</w:t>
            </w:r>
          </w:p>
        </w:tc>
        <w:tc>
          <w:tcPr>
            <w:tcW w:w="1559" w:type="dxa"/>
            <w:vAlign w:val="center"/>
          </w:tcPr>
          <w:p w:rsidR="001403FD" w:rsidRPr="001E7ABF" w:rsidRDefault="001403FD" w:rsidP="00342CF7">
            <w:pPr>
              <w:pStyle w:val="Nessunaspaziatura"/>
              <w:jc w:val="center"/>
              <w:rPr>
                <w:b/>
                <w:sz w:val="20"/>
              </w:rPr>
            </w:pPr>
            <w:r w:rsidRPr="001E7ABF">
              <w:rPr>
                <w:b/>
                <w:sz w:val="20"/>
              </w:rPr>
              <w:t xml:space="preserve">Contingenti </w:t>
            </w:r>
            <w:r>
              <w:rPr>
                <w:b/>
                <w:sz w:val="20"/>
              </w:rPr>
              <w:t xml:space="preserve">totali </w:t>
            </w:r>
            <w:r w:rsidRPr="001E7ABF">
              <w:rPr>
                <w:b/>
                <w:sz w:val="20"/>
              </w:rPr>
              <w:t>disponibili</w:t>
            </w:r>
            <w:r>
              <w:rPr>
                <w:b/>
                <w:sz w:val="20"/>
              </w:rPr>
              <w:t xml:space="preserve"> 2022-2026</w:t>
            </w:r>
          </w:p>
          <w:p w:rsidR="001403FD" w:rsidRPr="001E7ABF" w:rsidRDefault="001403FD" w:rsidP="00342CF7">
            <w:pPr>
              <w:pStyle w:val="Nessunaspaziatura"/>
              <w:jc w:val="center"/>
              <w:rPr>
                <w:b/>
                <w:sz w:val="20"/>
              </w:rPr>
            </w:pPr>
            <w:r w:rsidRPr="001E7ABF">
              <w:rPr>
                <w:b/>
                <w:sz w:val="20"/>
              </w:rPr>
              <w:t>(MW)</w:t>
            </w:r>
          </w:p>
        </w:tc>
      </w:tr>
      <w:tr w:rsidR="00EB240F" w:rsidRPr="001E7ABF" w:rsidDel="002F686B" w:rsidTr="00665976">
        <w:trPr>
          <w:cantSplit/>
          <w:trHeight w:val="590"/>
          <w:jc w:val="center"/>
        </w:trPr>
        <w:tc>
          <w:tcPr>
            <w:tcW w:w="1696" w:type="dxa"/>
            <w:vMerge w:val="restart"/>
            <w:vAlign w:val="center"/>
          </w:tcPr>
          <w:p w:rsidR="00EB240F" w:rsidRDefault="00EB240F" w:rsidP="00EB240F">
            <w:pPr>
              <w:pStyle w:val="Nessunaspaziatura"/>
              <w:jc w:val="left"/>
              <w:rPr>
                <w:sz w:val="20"/>
              </w:rPr>
            </w:pPr>
            <w:r>
              <w:rPr>
                <w:sz w:val="20"/>
              </w:rPr>
              <w:t>Procedure tipo A</w:t>
            </w:r>
          </w:p>
        </w:tc>
        <w:tc>
          <w:tcPr>
            <w:tcW w:w="2552" w:type="dxa"/>
            <w:vAlign w:val="center"/>
          </w:tcPr>
          <w:p w:rsidR="00EB240F" w:rsidRPr="001E7ABF" w:rsidRDefault="00EB240F" w:rsidP="00EB240F">
            <w:pPr>
              <w:pStyle w:val="Nessunaspaziatura"/>
              <w:jc w:val="left"/>
              <w:rPr>
                <w:sz w:val="20"/>
              </w:rPr>
            </w:pPr>
            <w:r w:rsidRPr="001E7ABF">
              <w:rPr>
                <w:sz w:val="20"/>
              </w:rPr>
              <w:t>Biogas</w:t>
            </w:r>
          </w:p>
        </w:tc>
        <w:tc>
          <w:tcPr>
            <w:tcW w:w="1559" w:type="dxa"/>
            <w:vAlign w:val="center"/>
          </w:tcPr>
          <w:p w:rsidR="00EB240F" w:rsidRPr="002748F4" w:rsidRDefault="00EB240F" w:rsidP="00EB240F">
            <w:pPr>
              <w:pStyle w:val="Nessunaspaziatura"/>
              <w:jc w:val="center"/>
              <w:rPr>
                <w:sz w:val="20"/>
              </w:rPr>
            </w:pPr>
            <w:r w:rsidRPr="002748F4">
              <w:rPr>
                <w:sz w:val="20"/>
              </w:rPr>
              <w:t>Nuovi impianti</w:t>
            </w:r>
          </w:p>
        </w:tc>
        <w:tc>
          <w:tcPr>
            <w:tcW w:w="1559" w:type="dxa"/>
            <w:vAlign w:val="center"/>
          </w:tcPr>
          <w:p w:rsidR="00EB240F" w:rsidRPr="002748F4" w:rsidRDefault="00EB240F" w:rsidP="00EB240F">
            <w:pPr>
              <w:pStyle w:val="Nessunaspaziatura"/>
              <w:jc w:val="center"/>
              <w:rPr>
                <w:sz w:val="20"/>
              </w:rPr>
            </w:pPr>
            <w:r w:rsidRPr="002748F4">
              <w:rPr>
                <w:sz w:val="20"/>
              </w:rPr>
              <w:t>P≤300</w:t>
            </w:r>
          </w:p>
        </w:tc>
        <w:tc>
          <w:tcPr>
            <w:tcW w:w="1559" w:type="dxa"/>
            <w:vMerge w:val="restart"/>
            <w:vAlign w:val="center"/>
          </w:tcPr>
          <w:p w:rsidR="00EB240F" w:rsidRPr="002748F4" w:rsidRDefault="00EB240F" w:rsidP="00EB240F">
            <w:pPr>
              <w:pStyle w:val="Nessunaspaziatura"/>
              <w:jc w:val="center"/>
              <w:rPr>
                <w:sz w:val="20"/>
              </w:rPr>
            </w:pPr>
            <w:r w:rsidRPr="002748F4">
              <w:rPr>
                <w:sz w:val="20"/>
              </w:rPr>
              <w:t>100</w:t>
            </w:r>
          </w:p>
        </w:tc>
      </w:tr>
      <w:tr w:rsidR="00EB240F" w:rsidRPr="001E7ABF" w:rsidDel="002F686B" w:rsidTr="00665976">
        <w:trPr>
          <w:cantSplit/>
          <w:trHeight w:val="590"/>
          <w:jc w:val="center"/>
        </w:trPr>
        <w:tc>
          <w:tcPr>
            <w:tcW w:w="1696" w:type="dxa"/>
            <w:vMerge/>
            <w:vAlign w:val="center"/>
          </w:tcPr>
          <w:p w:rsidR="00EB240F" w:rsidRPr="001E7ABF" w:rsidRDefault="00EB240F" w:rsidP="00EB240F">
            <w:pPr>
              <w:pStyle w:val="Nessunaspaziatura"/>
              <w:jc w:val="left"/>
              <w:rPr>
                <w:sz w:val="20"/>
              </w:rPr>
            </w:pPr>
          </w:p>
        </w:tc>
        <w:tc>
          <w:tcPr>
            <w:tcW w:w="2552" w:type="dxa"/>
            <w:vAlign w:val="center"/>
          </w:tcPr>
          <w:p w:rsidR="00EB240F" w:rsidRPr="001E7ABF" w:rsidRDefault="00EB240F" w:rsidP="00EB240F">
            <w:pPr>
              <w:pStyle w:val="Nessunaspaziatura"/>
              <w:jc w:val="left"/>
              <w:rPr>
                <w:sz w:val="20"/>
              </w:rPr>
            </w:pPr>
            <w:r>
              <w:rPr>
                <w:sz w:val="20"/>
              </w:rPr>
              <w:t>Biomasse</w:t>
            </w:r>
          </w:p>
        </w:tc>
        <w:tc>
          <w:tcPr>
            <w:tcW w:w="1559" w:type="dxa"/>
            <w:vAlign w:val="center"/>
          </w:tcPr>
          <w:p w:rsidR="00EB240F" w:rsidRPr="002748F4" w:rsidRDefault="00EB240F" w:rsidP="00EB240F">
            <w:pPr>
              <w:pStyle w:val="Nessunaspaziatura"/>
              <w:jc w:val="center"/>
              <w:rPr>
                <w:sz w:val="20"/>
              </w:rPr>
            </w:pPr>
            <w:r w:rsidRPr="002748F4">
              <w:rPr>
                <w:sz w:val="20"/>
              </w:rPr>
              <w:t>Nuovi impianti</w:t>
            </w:r>
          </w:p>
        </w:tc>
        <w:tc>
          <w:tcPr>
            <w:tcW w:w="1559" w:type="dxa"/>
            <w:vAlign w:val="center"/>
          </w:tcPr>
          <w:p w:rsidR="00EB240F" w:rsidRPr="002748F4" w:rsidRDefault="00EB240F" w:rsidP="00EB240F">
            <w:pPr>
              <w:pStyle w:val="Nessunaspaziatura"/>
              <w:jc w:val="center"/>
              <w:rPr>
                <w:sz w:val="20"/>
              </w:rPr>
            </w:pPr>
            <w:r w:rsidRPr="002748F4">
              <w:rPr>
                <w:sz w:val="20"/>
              </w:rPr>
              <w:t>P≤300</w:t>
            </w:r>
          </w:p>
        </w:tc>
        <w:tc>
          <w:tcPr>
            <w:tcW w:w="1559" w:type="dxa"/>
            <w:vMerge/>
            <w:vAlign w:val="center"/>
          </w:tcPr>
          <w:p w:rsidR="00EB240F" w:rsidRPr="002748F4" w:rsidDel="002F686B" w:rsidRDefault="00EB240F" w:rsidP="00EB240F">
            <w:pPr>
              <w:pStyle w:val="Nessunaspaziatura"/>
              <w:jc w:val="center"/>
              <w:rPr>
                <w:sz w:val="20"/>
              </w:rPr>
            </w:pPr>
          </w:p>
        </w:tc>
      </w:tr>
      <w:tr w:rsidR="00EB240F" w:rsidRPr="001E7ABF" w:rsidDel="005F1532" w:rsidTr="00665976">
        <w:trPr>
          <w:cantSplit/>
          <w:trHeight w:val="570"/>
          <w:jc w:val="center"/>
        </w:trPr>
        <w:tc>
          <w:tcPr>
            <w:tcW w:w="1696" w:type="dxa"/>
            <w:vAlign w:val="center"/>
          </w:tcPr>
          <w:p w:rsidR="00EB240F" w:rsidRDefault="00EB240F" w:rsidP="00EB240F">
            <w:pPr>
              <w:pStyle w:val="Nessunaspaziatura"/>
              <w:jc w:val="left"/>
              <w:rPr>
                <w:sz w:val="20"/>
              </w:rPr>
            </w:pPr>
            <w:r>
              <w:rPr>
                <w:sz w:val="20"/>
              </w:rPr>
              <w:lastRenderedPageBreak/>
              <w:t>Procedure tipo B</w:t>
            </w:r>
          </w:p>
        </w:tc>
        <w:tc>
          <w:tcPr>
            <w:tcW w:w="2552" w:type="dxa"/>
            <w:vAlign w:val="center"/>
          </w:tcPr>
          <w:p w:rsidR="00EB240F" w:rsidRDefault="00EB240F" w:rsidP="00EB240F">
            <w:pPr>
              <w:pStyle w:val="Nessunaspaziatura"/>
              <w:jc w:val="left"/>
              <w:rPr>
                <w:sz w:val="20"/>
              </w:rPr>
            </w:pPr>
            <w:r>
              <w:rPr>
                <w:sz w:val="20"/>
              </w:rPr>
              <w:t xml:space="preserve">Solare termodinamico </w:t>
            </w:r>
          </w:p>
          <w:p w:rsidR="00EB240F" w:rsidRDefault="00EB240F" w:rsidP="00EB240F">
            <w:pPr>
              <w:pStyle w:val="Nessunaspaziatura"/>
              <w:jc w:val="left"/>
              <w:rPr>
                <w:sz w:val="20"/>
              </w:rPr>
            </w:pPr>
            <w:r>
              <w:rPr>
                <w:sz w:val="20"/>
              </w:rPr>
              <w:t>piccola taglia</w:t>
            </w:r>
          </w:p>
        </w:tc>
        <w:tc>
          <w:tcPr>
            <w:tcW w:w="1559" w:type="dxa"/>
            <w:vAlign w:val="center"/>
          </w:tcPr>
          <w:p w:rsidR="00EB240F" w:rsidRPr="002748F4" w:rsidRDefault="00EB240F" w:rsidP="00EB240F">
            <w:pPr>
              <w:pStyle w:val="Nessunaspaziatura"/>
              <w:jc w:val="center"/>
              <w:rPr>
                <w:rStyle w:val="Rimandocommento"/>
                <w:sz w:val="20"/>
                <w:szCs w:val="20"/>
              </w:rPr>
            </w:pPr>
            <w:r w:rsidRPr="002748F4">
              <w:rPr>
                <w:sz w:val="20"/>
              </w:rPr>
              <w:t>Nuovi impianti</w:t>
            </w:r>
          </w:p>
        </w:tc>
        <w:tc>
          <w:tcPr>
            <w:tcW w:w="1559" w:type="dxa"/>
            <w:vAlign w:val="center"/>
          </w:tcPr>
          <w:p w:rsidR="00EB240F" w:rsidRPr="002748F4" w:rsidRDefault="00EB240F" w:rsidP="00EB240F">
            <w:pPr>
              <w:pStyle w:val="Nessunaspaziatura"/>
              <w:jc w:val="center"/>
              <w:rPr>
                <w:rStyle w:val="Rimandocommento"/>
                <w:sz w:val="20"/>
                <w:szCs w:val="20"/>
              </w:rPr>
            </w:pPr>
            <w:r w:rsidRPr="002748F4">
              <w:rPr>
                <w:sz w:val="20"/>
              </w:rPr>
              <w:t>P≤300</w:t>
            </w:r>
          </w:p>
        </w:tc>
        <w:tc>
          <w:tcPr>
            <w:tcW w:w="1559" w:type="dxa"/>
            <w:vAlign w:val="center"/>
          </w:tcPr>
          <w:p w:rsidR="00EB240F" w:rsidRPr="002748F4" w:rsidRDefault="00EB240F" w:rsidP="00EB240F">
            <w:pPr>
              <w:pStyle w:val="Nessunaspaziatura"/>
              <w:jc w:val="center"/>
              <w:rPr>
                <w:sz w:val="20"/>
              </w:rPr>
            </w:pPr>
            <w:r w:rsidRPr="002748F4">
              <w:rPr>
                <w:sz w:val="20"/>
              </w:rPr>
              <w:t>5</w:t>
            </w:r>
          </w:p>
        </w:tc>
      </w:tr>
      <w:tr w:rsidR="00EB240F" w:rsidRPr="001E7ABF" w:rsidDel="005F1532" w:rsidTr="00665976">
        <w:trPr>
          <w:cantSplit/>
          <w:trHeight w:val="529"/>
          <w:jc w:val="center"/>
        </w:trPr>
        <w:tc>
          <w:tcPr>
            <w:tcW w:w="1696" w:type="dxa"/>
            <w:vAlign w:val="center"/>
          </w:tcPr>
          <w:p w:rsidR="00EB240F" w:rsidRDefault="00EB240F" w:rsidP="00EB240F">
            <w:pPr>
              <w:pStyle w:val="Nessunaspaziatura"/>
              <w:jc w:val="left"/>
              <w:rPr>
                <w:sz w:val="20"/>
              </w:rPr>
            </w:pPr>
            <w:r>
              <w:rPr>
                <w:sz w:val="20"/>
              </w:rPr>
              <w:t>Procedure tipo B-1</w:t>
            </w:r>
          </w:p>
        </w:tc>
        <w:tc>
          <w:tcPr>
            <w:tcW w:w="2552" w:type="dxa"/>
            <w:vAlign w:val="center"/>
          </w:tcPr>
          <w:p w:rsidR="00EB240F" w:rsidRDefault="00EB240F" w:rsidP="00EB240F">
            <w:pPr>
              <w:pStyle w:val="Nessunaspaziatura"/>
              <w:jc w:val="left"/>
              <w:rPr>
                <w:sz w:val="20"/>
              </w:rPr>
            </w:pPr>
            <w:r>
              <w:rPr>
                <w:sz w:val="20"/>
              </w:rPr>
              <w:t xml:space="preserve">Solare termodinamico </w:t>
            </w:r>
          </w:p>
          <w:p w:rsidR="00EB240F" w:rsidRDefault="00EB240F" w:rsidP="00EB240F">
            <w:pPr>
              <w:pStyle w:val="Nessunaspaziatura"/>
              <w:jc w:val="left"/>
              <w:rPr>
                <w:sz w:val="20"/>
              </w:rPr>
            </w:pPr>
            <w:r>
              <w:rPr>
                <w:sz w:val="20"/>
              </w:rPr>
              <w:t>media taglia</w:t>
            </w:r>
          </w:p>
        </w:tc>
        <w:tc>
          <w:tcPr>
            <w:tcW w:w="1559" w:type="dxa"/>
            <w:vAlign w:val="center"/>
          </w:tcPr>
          <w:p w:rsidR="00EB240F" w:rsidRPr="002748F4" w:rsidRDefault="00EB240F" w:rsidP="00EB240F">
            <w:pPr>
              <w:pStyle w:val="Nessunaspaziatura"/>
              <w:jc w:val="center"/>
              <w:rPr>
                <w:sz w:val="20"/>
              </w:rPr>
            </w:pPr>
            <w:r w:rsidRPr="002748F4">
              <w:rPr>
                <w:sz w:val="20"/>
              </w:rPr>
              <w:t>Nuovi impianti</w:t>
            </w:r>
          </w:p>
        </w:tc>
        <w:tc>
          <w:tcPr>
            <w:tcW w:w="1559" w:type="dxa"/>
            <w:vAlign w:val="center"/>
          </w:tcPr>
          <w:p w:rsidR="00EB240F" w:rsidRPr="002748F4" w:rsidRDefault="00EB240F" w:rsidP="00EB240F">
            <w:pPr>
              <w:pStyle w:val="Nessunaspaziatura"/>
              <w:jc w:val="center"/>
              <w:rPr>
                <w:rStyle w:val="Rimandocommento"/>
                <w:sz w:val="20"/>
                <w:szCs w:val="20"/>
              </w:rPr>
            </w:pPr>
            <w:r>
              <w:rPr>
                <w:rStyle w:val="Rimandocommento"/>
                <w:sz w:val="20"/>
                <w:szCs w:val="20"/>
              </w:rPr>
              <w:t>300&lt;P</w:t>
            </w:r>
            <w:r w:rsidRPr="002748F4">
              <w:rPr>
                <w:sz w:val="20"/>
              </w:rPr>
              <w:t>≤</w:t>
            </w:r>
            <w:r>
              <w:rPr>
                <w:sz w:val="20"/>
              </w:rPr>
              <w:t>5000</w:t>
            </w:r>
          </w:p>
        </w:tc>
        <w:tc>
          <w:tcPr>
            <w:tcW w:w="1559" w:type="dxa"/>
            <w:vAlign w:val="center"/>
          </w:tcPr>
          <w:p w:rsidR="00EB240F" w:rsidRPr="002748F4" w:rsidRDefault="00EB240F" w:rsidP="00EB240F">
            <w:pPr>
              <w:pStyle w:val="Nessunaspaziatura"/>
              <w:jc w:val="center"/>
              <w:rPr>
                <w:rStyle w:val="Rimandocommento"/>
                <w:sz w:val="20"/>
                <w:szCs w:val="20"/>
              </w:rPr>
            </w:pPr>
            <w:r w:rsidRPr="002748F4">
              <w:rPr>
                <w:rStyle w:val="Rimandocommento"/>
                <w:sz w:val="20"/>
                <w:szCs w:val="20"/>
              </w:rPr>
              <w:t>5</w:t>
            </w:r>
            <w:r>
              <w:rPr>
                <w:rStyle w:val="Rimandocommento"/>
                <w:sz w:val="20"/>
                <w:szCs w:val="20"/>
              </w:rPr>
              <w:t>0</w:t>
            </w:r>
          </w:p>
        </w:tc>
      </w:tr>
      <w:tr w:rsidR="00EB240F" w:rsidRPr="001E7ABF" w:rsidTr="00665976">
        <w:trPr>
          <w:cantSplit/>
          <w:trHeight w:val="409"/>
          <w:jc w:val="center"/>
        </w:trPr>
        <w:tc>
          <w:tcPr>
            <w:tcW w:w="1696" w:type="dxa"/>
            <w:vMerge w:val="restart"/>
            <w:vAlign w:val="center"/>
          </w:tcPr>
          <w:p w:rsidR="00EB240F" w:rsidRPr="001E7ABF" w:rsidRDefault="00EB240F" w:rsidP="00EB240F">
            <w:pPr>
              <w:pStyle w:val="Nessunaspaziatura"/>
              <w:jc w:val="left"/>
              <w:rPr>
                <w:sz w:val="20"/>
              </w:rPr>
            </w:pPr>
            <w:r>
              <w:rPr>
                <w:sz w:val="20"/>
              </w:rPr>
              <w:t>Procedure tipo C</w:t>
            </w:r>
          </w:p>
        </w:tc>
        <w:tc>
          <w:tcPr>
            <w:tcW w:w="2552" w:type="dxa"/>
            <w:vAlign w:val="center"/>
          </w:tcPr>
          <w:p w:rsidR="00EB240F" w:rsidRPr="001E7ABF" w:rsidRDefault="00EB240F" w:rsidP="00EB240F">
            <w:pPr>
              <w:pStyle w:val="Nessunaspaziatura"/>
              <w:jc w:val="left"/>
              <w:rPr>
                <w:sz w:val="20"/>
              </w:rPr>
            </w:pPr>
            <w:r w:rsidRPr="001E7ABF">
              <w:rPr>
                <w:sz w:val="20"/>
              </w:rPr>
              <w:t>Geotermico tradizionale con innovazioni</w:t>
            </w:r>
          </w:p>
        </w:tc>
        <w:tc>
          <w:tcPr>
            <w:tcW w:w="1559" w:type="dxa"/>
            <w:vAlign w:val="center"/>
          </w:tcPr>
          <w:p w:rsidR="00EB240F" w:rsidRPr="002748F4" w:rsidRDefault="00EB240F" w:rsidP="00EB240F">
            <w:pPr>
              <w:pStyle w:val="Nessunaspaziatura"/>
              <w:jc w:val="center"/>
              <w:rPr>
                <w:sz w:val="20"/>
              </w:rPr>
            </w:pPr>
            <w:r w:rsidRPr="002748F4">
              <w:rPr>
                <w:sz w:val="20"/>
              </w:rPr>
              <w:t>Nuovi impianti</w:t>
            </w:r>
          </w:p>
        </w:tc>
        <w:tc>
          <w:tcPr>
            <w:tcW w:w="1559" w:type="dxa"/>
            <w:vAlign w:val="center"/>
          </w:tcPr>
          <w:p w:rsidR="00EB240F" w:rsidRPr="002748F4" w:rsidRDefault="00EB240F" w:rsidP="00EB240F">
            <w:pPr>
              <w:pStyle w:val="Nessunaspaziatura"/>
              <w:jc w:val="center"/>
              <w:rPr>
                <w:sz w:val="20"/>
              </w:rPr>
            </w:pPr>
            <w:r>
              <w:rPr>
                <w:sz w:val="20"/>
              </w:rPr>
              <w:t>Tutte le potenze</w:t>
            </w:r>
          </w:p>
        </w:tc>
        <w:tc>
          <w:tcPr>
            <w:tcW w:w="1559" w:type="dxa"/>
            <w:vMerge w:val="restart"/>
            <w:vAlign w:val="center"/>
          </w:tcPr>
          <w:p w:rsidR="00EB240F" w:rsidRPr="002748F4" w:rsidRDefault="00EB240F" w:rsidP="00EB240F">
            <w:pPr>
              <w:pStyle w:val="Nessunaspaziatura"/>
              <w:jc w:val="center"/>
              <w:rPr>
                <w:sz w:val="20"/>
              </w:rPr>
            </w:pPr>
            <w:r w:rsidRPr="002748F4">
              <w:rPr>
                <w:sz w:val="20"/>
              </w:rPr>
              <w:t>140</w:t>
            </w:r>
          </w:p>
        </w:tc>
      </w:tr>
      <w:tr w:rsidR="00EB240F" w:rsidRPr="001E7ABF" w:rsidTr="00665976">
        <w:trPr>
          <w:cantSplit/>
          <w:trHeight w:val="500"/>
          <w:jc w:val="center"/>
        </w:trPr>
        <w:tc>
          <w:tcPr>
            <w:tcW w:w="1696" w:type="dxa"/>
            <w:vMerge/>
            <w:vAlign w:val="center"/>
          </w:tcPr>
          <w:p w:rsidR="00EB240F" w:rsidRPr="001E7ABF" w:rsidRDefault="00EB240F" w:rsidP="00EB240F">
            <w:pPr>
              <w:pStyle w:val="Nessunaspaziatura"/>
              <w:jc w:val="left"/>
              <w:rPr>
                <w:sz w:val="20"/>
              </w:rPr>
            </w:pPr>
          </w:p>
        </w:tc>
        <w:tc>
          <w:tcPr>
            <w:tcW w:w="2552" w:type="dxa"/>
            <w:vAlign w:val="center"/>
          </w:tcPr>
          <w:p w:rsidR="00EB240F" w:rsidRPr="001E7ABF" w:rsidRDefault="00EB240F" w:rsidP="00EB240F">
            <w:pPr>
              <w:pStyle w:val="Nessunaspaziatura"/>
              <w:jc w:val="left"/>
              <w:rPr>
                <w:sz w:val="20"/>
              </w:rPr>
            </w:pPr>
            <w:r w:rsidRPr="001E7ABF">
              <w:rPr>
                <w:sz w:val="20"/>
              </w:rPr>
              <w:t>Geotermico a emissioni nulle</w:t>
            </w:r>
          </w:p>
        </w:tc>
        <w:tc>
          <w:tcPr>
            <w:tcW w:w="1559" w:type="dxa"/>
            <w:vAlign w:val="center"/>
          </w:tcPr>
          <w:p w:rsidR="00EB240F" w:rsidRPr="002748F4" w:rsidRDefault="00EB240F" w:rsidP="00EB240F">
            <w:pPr>
              <w:pStyle w:val="Nessunaspaziatura"/>
              <w:jc w:val="center"/>
              <w:rPr>
                <w:sz w:val="20"/>
              </w:rPr>
            </w:pPr>
            <w:r w:rsidRPr="002748F4">
              <w:rPr>
                <w:sz w:val="20"/>
              </w:rPr>
              <w:t>Nuovi impianti</w:t>
            </w:r>
          </w:p>
        </w:tc>
        <w:tc>
          <w:tcPr>
            <w:tcW w:w="1559" w:type="dxa"/>
            <w:vAlign w:val="center"/>
          </w:tcPr>
          <w:p w:rsidR="00EB240F" w:rsidRPr="002748F4" w:rsidRDefault="00EB240F" w:rsidP="00EB240F">
            <w:pPr>
              <w:pStyle w:val="Nessunaspaziatura"/>
              <w:jc w:val="center"/>
              <w:rPr>
                <w:sz w:val="20"/>
              </w:rPr>
            </w:pPr>
            <w:r>
              <w:rPr>
                <w:sz w:val="20"/>
              </w:rPr>
              <w:t>Tutte le potenze</w:t>
            </w:r>
          </w:p>
        </w:tc>
        <w:tc>
          <w:tcPr>
            <w:tcW w:w="1559" w:type="dxa"/>
            <w:vMerge/>
            <w:vAlign w:val="center"/>
          </w:tcPr>
          <w:p w:rsidR="00EB240F" w:rsidRPr="002748F4" w:rsidRDefault="00EB240F" w:rsidP="00EB240F">
            <w:pPr>
              <w:pStyle w:val="Nessunaspaziatura"/>
              <w:jc w:val="center"/>
              <w:rPr>
                <w:sz w:val="20"/>
              </w:rPr>
            </w:pPr>
          </w:p>
        </w:tc>
      </w:tr>
      <w:tr w:rsidR="00EB240F" w:rsidRPr="001E7ABF" w:rsidTr="00665976">
        <w:trPr>
          <w:cantSplit/>
          <w:trHeight w:val="563"/>
          <w:jc w:val="center"/>
        </w:trPr>
        <w:tc>
          <w:tcPr>
            <w:tcW w:w="1696" w:type="dxa"/>
            <w:vAlign w:val="center"/>
          </w:tcPr>
          <w:p w:rsidR="00EB240F" w:rsidRPr="001E7ABF" w:rsidRDefault="00EB240F" w:rsidP="00EB240F">
            <w:pPr>
              <w:pStyle w:val="Nessunaspaziatura"/>
              <w:jc w:val="left"/>
              <w:rPr>
                <w:sz w:val="20"/>
              </w:rPr>
            </w:pPr>
            <w:r>
              <w:rPr>
                <w:sz w:val="20"/>
              </w:rPr>
              <w:t>Procedure tipo E</w:t>
            </w:r>
          </w:p>
        </w:tc>
        <w:tc>
          <w:tcPr>
            <w:tcW w:w="2552" w:type="dxa"/>
            <w:vAlign w:val="center"/>
          </w:tcPr>
          <w:p w:rsidR="00EB240F" w:rsidRPr="001E7ABF" w:rsidRDefault="00EB240F" w:rsidP="00EB240F">
            <w:pPr>
              <w:pStyle w:val="Nessunaspaziatura"/>
              <w:jc w:val="left"/>
              <w:rPr>
                <w:sz w:val="20"/>
              </w:rPr>
            </w:pPr>
            <w:r w:rsidRPr="001E7ABF">
              <w:rPr>
                <w:sz w:val="20"/>
              </w:rPr>
              <w:t>Eolica</w:t>
            </w:r>
            <w:r w:rsidRPr="000B0D79">
              <w:rPr>
                <w:i/>
                <w:sz w:val="20"/>
              </w:rPr>
              <w:t xml:space="preserve"> off-shore</w:t>
            </w:r>
            <w:r>
              <w:rPr>
                <w:i/>
                <w:sz w:val="20"/>
              </w:rPr>
              <w:t xml:space="preserve"> </w:t>
            </w:r>
            <w:r w:rsidRPr="000A2010">
              <w:rPr>
                <w:iCs/>
                <w:sz w:val="20"/>
              </w:rPr>
              <w:t>floating</w:t>
            </w:r>
          </w:p>
        </w:tc>
        <w:tc>
          <w:tcPr>
            <w:tcW w:w="1559" w:type="dxa"/>
            <w:vAlign w:val="center"/>
          </w:tcPr>
          <w:p w:rsidR="00EB240F" w:rsidRPr="002748F4" w:rsidRDefault="00EB240F" w:rsidP="00EB240F">
            <w:pPr>
              <w:pStyle w:val="Nessunaspaziatura"/>
              <w:jc w:val="center"/>
              <w:rPr>
                <w:sz w:val="20"/>
              </w:rPr>
            </w:pPr>
            <w:r w:rsidRPr="002748F4">
              <w:rPr>
                <w:sz w:val="20"/>
              </w:rPr>
              <w:t>Nuovi impianti</w:t>
            </w:r>
          </w:p>
        </w:tc>
        <w:tc>
          <w:tcPr>
            <w:tcW w:w="1559" w:type="dxa"/>
            <w:vAlign w:val="center"/>
          </w:tcPr>
          <w:p w:rsidR="00EB240F" w:rsidRPr="002748F4" w:rsidRDefault="00EB240F" w:rsidP="00EB240F">
            <w:pPr>
              <w:pStyle w:val="Nessunaspaziatura"/>
              <w:jc w:val="center"/>
              <w:rPr>
                <w:sz w:val="20"/>
              </w:rPr>
            </w:pPr>
            <w:r>
              <w:rPr>
                <w:sz w:val="20"/>
              </w:rPr>
              <w:t>Tutte le potenze</w:t>
            </w:r>
          </w:p>
        </w:tc>
        <w:tc>
          <w:tcPr>
            <w:tcW w:w="1559" w:type="dxa"/>
            <w:vAlign w:val="center"/>
          </w:tcPr>
          <w:p w:rsidR="00EB240F" w:rsidRPr="002748F4" w:rsidRDefault="00EB240F" w:rsidP="00EB240F">
            <w:pPr>
              <w:pStyle w:val="Nessunaspaziatura"/>
              <w:jc w:val="center"/>
              <w:rPr>
                <w:sz w:val="20"/>
              </w:rPr>
            </w:pPr>
            <w:r w:rsidRPr="002748F4">
              <w:rPr>
                <w:sz w:val="20"/>
              </w:rPr>
              <w:t>3.500</w:t>
            </w:r>
          </w:p>
        </w:tc>
      </w:tr>
      <w:tr w:rsidR="00EB240F" w:rsidRPr="001E7ABF" w:rsidTr="00665976">
        <w:trPr>
          <w:cantSplit/>
          <w:trHeight w:val="493"/>
          <w:jc w:val="center"/>
        </w:trPr>
        <w:tc>
          <w:tcPr>
            <w:tcW w:w="1696" w:type="dxa"/>
            <w:vAlign w:val="center"/>
          </w:tcPr>
          <w:p w:rsidR="00EB240F" w:rsidRDefault="00EB240F" w:rsidP="00EB240F">
            <w:pPr>
              <w:pStyle w:val="Nessunaspaziatura"/>
              <w:jc w:val="left"/>
              <w:rPr>
                <w:sz w:val="20"/>
              </w:rPr>
            </w:pPr>
            <w:r>
              <w:rPr>
                <w:sz w:val="20"/>
              </w:rPr>
              <w:t>Procedure tipo F</w:t>
            </w:r>
          </w:p>
        </w:tc>
        <w:tc>
          <w:tcPr>
            <w:tcW w:w="2552" w:type="dxa"/>
            <w:vAlign w:val="center"/>
          </w:tcPr>
          <w:p w:rsidR="00EB240F" w:rsidRPr="001E7ABF" w:rsidRDefault="00EB240F" w:rsidP="00EB240F">
            <w:pPr>
              <w:pStyle w:val="Nessunaspaziatura"/>
              <w:jc w:val="left"/>
              <w:rPr>
                <w:sz w:val="20"/>
              </w:rPr>
            </w:pPr>
            <w:r w:rsidRPr="001E7ABF">
              <w:rPr>
                <w:sz w:val="20"/>
              </w:rPr>
              <w:t>Geotermico tradizionale con innovazioni</w:t>
            </w:r>
          </w:p>
        </w:tc>
        <w:tc>
          <w:tcPr>
            <w:tcW w:w="1559" w:type="dxa"/>
            <w:vAlign w:val="center"/>
          </w:tcPr>
          <w:p w:rsidR="00EB240F" w:rsidRPr="002748F4" w:rsidRDefault="00EB240F" w:rsidP="00EB240F">
            <w:pPr>
              <w:pStyle w:val="Nessunaspaziatura"/>
              <w:jc w:val="center"/>
              <w:rPr>
                <w:sz w:val="20"/>
              </w:rPr>
            </w:pPr>
            <w:r w:rsidRPr="002748F4">
              <w:rPr>
                <w:sz w:val="20"/>
              </w:rPr>
              <w:t xml:space="preserve">Rifacimento </w:t>
            </w:r>
          </w:p>
        </w:tc>
        <w:tc>
          <w:tcPr>
            <w:tcW w:w="1559" w:type="dxa"/>
            <w:vAlign w:val="center"/>
          </w:tcPr>
          <w:p w:rsidR="00EB240F" w:rsidRPr="002748F4" w:rsidRDefault="00EB240F" w:rsidP="00EB240F">
            <w:pPr>
              <w:pStyle w:val="Nessunaspaziatura"/>
              <w:jc w:val="center"/>
              <w:rPr>
                <w:sz w:val="20"/>
              </w:rPr>
            </w:pPr>
            <w:r>
              <w:rPr>
                <w:sz w:val="20"/>
              </w:rPr>
              <w:t>Tutte le potenze</w:t>
            </w:r>
          </w:p>
        </w:tc>
        <w:tc>
          <w:tcPr>
            <w:tcW w:w="1559" w:type="dxa"/>
            <w:vAlign w:val="center"/>
          </w:tcPr>
          <w:p w:rsidR="00EB240F" w:rsidRPr="002748F4" w:rsidRDefault="00EB240F" w:rsidP="00EB240F">
            <w:pPr>
              <w:pStyle w:val="Nessunaspaziatura"/>
              <w:jc w:val="center"/>
              <w:rPr>
                <w:sz w:val="20"/>
              </w:rPr>
            </w:pPr>
            <w:r w:rsidRPr="002748F4">
              <w:rPr>
                <w:sz w:val="20"/>
              </w:rPr>
              <w:t>150</w:t>
            </w:r>
          </w:p>
        </w:tc>
      </w:tr>
    </w:tbl>
    <w:p w:rsidR="00190DA1" w:rsidRPr="002D325A" w:rsidRDefault="00190DA1" w:rsidP="00190DA1">
      <w:pPr>
        <w:pStyle w:val="Nessunaspaziatura"/>
        <w:spacing w:before="240"/>
        <w:contextualSpacing/>
        <w:jc w:val="center"/>
        <w:rPr>
          <w:i/>
          <w:iCs/>
          <w:szCs w:val="24"/>
        </w:rPr>
      </w:pPr>
      <w:r w:rsidRPr="002D325A">
        <w:rPr>
          <w:i/>
          <w:iCs/>
          <w:szCs w:val="24"/>
        </w:rPr>
        <w:t>Tabella 1</w:t>
      </w:r>
    </w:p>
    <w:p w:rsidR="005A0CA5" w:rsidRDefault="00331006" w:rsidP="00F3067C">
      <w:pPr>
        <w:spacing w:before="240"/>
        <w:rPr>
          <w:szCs w:val="24"/>
        </w:rPr>
      </w:pPr>
      <w:r>
        <w:rPr>
          <w:szCs w:val="24"/>
        </w:rPr>
        <w:t>6</w:t>
      </w:r>
      <w:r w:rsidR="0093321E">
        <w:rPr>
          <w:szCs w:val="24"/>
        </w:rPr>
        <w:t>. Le date di svolgimento delle procedure</w:t>
      </w:r>
      <w:r w:rsidR="005C4D87">
        <w:rPr>
          <w:szCs w:val="24"/>
        </w:rPr>
        <w:t xml:space="preserve"> </w:t>
      </w:r>
      <w:r w:rsidR="00D329FD">
        <w:rPr>
          <w:szCs w:val="24"/>
        </w:rPr>
        <w:t>nelle quali</w:t>
      </w:r>
      <w:r w:rsidR="000E0370">
        <w:rPr>
          <w:szCs w:val="24"/>
        </w:rPr>
        <w:t xml:space="preserve"> sono mess</w:t>
      </w:r>
      <w:r w:rsidR="00D626DB">
        <w:rPr>
          <w:szCs w:val="24"/>
        </w:rPr>
        <w:t>i a disposizione i</w:t>
      </w:r>
      <w:r w:rsidR="000E0370">
        <w:rPr>
          <w:szCs w:val="24"/>
        </w:rPr>
        <w:t xml:space="preserve"> contingenti </w:t>
      </w:r>
      <w:r w:rsidR="00D626DB">
        <w:rPr>
          <w:szCs w:val="24"/>
        </w:rPr>
        <w:t>di cui alla Tabella 1</w:t>
      </w:r>
      <w:r w:rsidR="000E0370">
        <w:rPr>
          <w:szCs w:val="24"/>
        </w:rPr>
        <w:t xml:space="preserve"> </w:t>
      </w:r>
      <w:r w:rsidR="0093321E">
        <w:rPr>
          <w:szCs w:val="24"/>
        </w:rPr>
        <w:t xml:space="preserve">sono </w:t>
      </w:r>
      <w:r w:rsidR="00AB2F60">
        <w:rPr>
          <w:szCs w:val="24"/>
        </w:rPr>
        <w:t xml:space="preserve">definite </w:t>
      </w:r>
      <w:r w:rsidR="0093321E">
        <w:rPr>
          <w:szCs w:val="24"/>
        </w:rPr>
        <w:t xml:space="preserve">nelle regole </w:t>
      </w:r>
      <w:r w:rsidR="00BE2157">
        <w:rPr>
          <w:szCs w:val="24"/>
        </w:rPr>
        <w:t>operative</w:t>
      </w:r>
      <w:r w:rsidR="0093321E">
        <w:rPr>
          <w:szCs w:val="24"/>
        </w:rPr>
        <w:t xml:space="preserve"> di cui all’articolo </w:t>
      </w:r>
      <w:r w:rsidR="00846D51">
        <w:rPr>
          <w:szCs w:val="24"/>
        </w:rPr>
        <w:t>10</w:t>
      </w:r>
      <w:r w:rsidR="00A865B7">
        <w:rPr>
          <w:szCs w:val="24"/>
        </w:rPr>
        <w:t xml:space="preserve">, garantendo </w:t>
      </w:r>
      <w:r w:rsidR="00774AAA">
        <w:rPr>
          <w:szCs w:val="24"/>
        </w:rPr>
        <w:t>comunque</w:t>
      </w:r>
      <w:r w:rsidR="000020FA">
        <w:rPr>
          <w:szCs w:val="24"/>
        </w:rPr>
        <w:t xml:space="preserve"> almeno </w:t>
      </w:r>
      <w:r w:rsidR="00774AAA">
        <w:rPr>
          <w:szCs w:val="24"/>
        </w:rPr>
        <w:t>una</w:t>
      </w:r>
      <w:r w:rsidR="000020FA">
        <w:rPr>
          <w:szCs w:val="24"/>
        </w:rPr>
        <w:t xml:space="preserve"> procedura l’anno per quelle di tipo A, B, B-1</w:t>
      </w:r>
      <w:r w:rsidR="000E0370">
        <w:rPr>
          <w:szCs w:val="24"/>
        </w:rPr>
        <w:t>, C ed F e almeno tre procedure sull’intero periodo</w:t>
      </w:r>
      <w:r w:rsidR="00D329FD">
        <w:rPr>
          <w:szCs w:val="24"/>
        </w:rPr>
        <w:t xml:space="preserve"> per </w:t>
      </w:r>
      <w:r w:rsidR="00857DE4">
        <w:rPr>
          <w:szCs w:val="24"/>
        </w:rPr>
        <w:t>quelle</w:t>
      </w:r>
      <w:r w:rsidR="00D72166">
        <w:rPr>
          <w:szCs w:val="24"/>
        </w:rPr>
        <w:t xml:space="preserve"> di tipo E</w:t>
      </w:r>
      <w:r w:rsidR="00A367E4">
        <w:rPr>
          <w:szCs w:val="24"/>
        </w:rPr>
        <w:t>.</w:t>
      </w:r>
    </w:p>
    <w:p w:rsidR="00604AEB" w:rsidRPr="00C726E9" w:rsidRDefault="00604AEB" w:rsidP="00F3067C">
      <w:pPr>
        <w:pStyle w:val="Sottotitolo"/>
        <w:spacing w:before="360" w:after="360"/>
        <w:jc w:val="center"/>
        <w:outlineLvl w:val="1"/>
        <w:rPr>
          <w:b w:val="0"/>
          <w:bCs/>
          <w:i/>
          <w:iCs/>
        </w:rPr>
      </w:pPr>
      <w:bookmarkStart w:id="5" w:name="_Toc8978892"/>
      <w:r w:rsidRPr="001E7ABF">
        <w:t xml:space="preserve">Art. </w:t>
      </w:r>
      <w:bookmarkEnd w:id="5"/>
      <w:r w:rsidR="00BE08C7">
        <w:t>5</w:t>
      </w:r>
      <w:r w:rsidR="00171413" w:rsidRPr="003A1739">
        <w:br/>
      </w:r>
      <w:bookmarkStart w:id="6" w:name="_Toc8978893"/>
      <w:r w:rsidRPr="00C726E9">
        <w:rPr>
          <w:b w:val="0"/>
          <w:bCs/>
          <w:i/>
          <w:iCs/>
        </w:rPr>
        <w:t>(</w:t>
      </w:r>
      <w:r w:rsidR="0066033B" w:rsidRPr="00C726E9">
        <w:rPr>
          <w:b w:val="0"/>
          <w:bCs/>
          <w:i/>
          <w:iCs/>
        </w:rPr>
        <w:t>Criteri di</w:t>
      </w:r>
      <w:r w:rsidR="00AD384F" w:rsidRPr="00C726E9">
        <w:rPr>
          <w:b w:val="0"/>
          <w:bCs/>
          <w:i/>
          <w:iCs/>
        </w:rPr>
        <w:t xml:space="preserve"> selezione dei </w:t>
      </w:r>
      <w:r w:rsidR="00AD384F" w:rsidRPr="00F3067C">
        <w:rPr>
          <w:b w:val="0"/>
          <w:bCs/>
          <w:i/>
        </w:rPr>
        <w:t>progetti</w:t>
      </w:r>
      <w:r w:rsidR="00556137" w:rsidRPr="00C726E9">
        <w:rPr>
          <w:b w:val="0"/>
          <w:bCs/>
          <w:i/>
          <w:iCs/>
        </w:rPr>
        <w:t xml:space="preserve"> e ammissione a</w:t>
      </w:r>
      <w:r w:rsidR="00C00239" w:rsidRPr="00C726E9">
        <w:rPr>
          <w:b w:val="0"/>
          <w:bCs/>
          <w:i/>
          <w:iCs/>
        </w:rPr>
        <w:t>gli incentivi</w:t>
      </w:r>
      <w:r w:rsidRPr="00C726E9">
        <w:rPr>
          <w:b w:val="0"/>
          <w:bCs/>
          <w:i/>
          <w:iCs/>
        </w:rPr>
        <w:t>)</w:t>
      </w:r>
      <w:bookmarkEnd w:id="6"/>
    </w:p>
    <w:p w:rsidR="00896D3D" w:rsidRDefault="00604AEB" w:rsidP="00B313F3">
      <w:pPr>
        <w:pStyle w:val="Nessunaspaziatura"/>
        <w:spacing w:before="240"/>
        <w:rPr>
          <w:szCs w:val="24"/>
        </w:rPr>
      </w:pPr>
      <w:r w:rsidRPr="001E7ABF">
        <w:rPr>
          <w:szCs w:val="24"/>
        </w:rPr>
        <w:t xml:space="preserve">1. Le </w:t>
      </w:r>
      <w:r w:rsidR="005E5848">
        <w:rPr>
          <w:szCs w:val="24"/>
        </w:rPr>
        <w:t>istanze</w:t>
      </w:r>
      <w:r w:rsidRPr="001E7ABF">
        <w:rPr>
          <w:szCs w:val="24"/>
        </w:rPr>
        <w:t xml:space="preserve"> di partecipazione alle procedure </w:t>
      </w:r>
      <w:r w:rsidR="00C73300">
        <w:rPr>
          <w:szCs w:val="24"/>
        </w:rPr>
        <w:t>per l’</w:t>
      </w:r>
      <w:r w:rsidRPr="001E7ABF">
        <w:rPr>
          <w:szCs w:val="24"/>
        </w:rPr>
        <w:t xml:space="preserve">accesso agli incentivi sono inviate al GSE tramite il sito www.gse.it, </w:t>
      </w:r>
      <w:r w:rsidR="008C2E12">
        <w:rPr>
          <w:szCs w:val="24"/>
        </w:rPr>
        <w:t>allegando</w:t>
      </w:r>
      <w:r w:rsidR="00896D3D">
        <w:rPr>
          <w:szCs w:val="24"/>
        </w:rPr>
        <w:t>:</w:t>
      </w:r>
    </w:p>
    <w:p w:rsidR="00896D3D" w:rsidRDefault="00AD384F" w:rsidP="00FF03FF">
      <w:pPr>
        <w:pStyle w:val="Nessunaspaziatura"/>
        <w:numPr>
          <w:ilvl w:val="1"/>
          <w:numId w:val="39"/>
        </w:numPr>
        <w:spacing w:before="240"/>
        <w:ind w:left="426"/>
        <w:rPr>
          <w:szCs w:val="24"/>
        </w:rPr>
      </w:pPr>
      <w:r>
        <w:rPr>
          <w:szCs w:val="24"/>
        </w:rPr>
        <w:t>l’offerta di riduzione della tariffa di riferimento</w:t>
      </w:r>
      <w:r w:rsidR="00896D3D">
        <w:rPr>
          <w:szCs w:val="24"/>
        </w:rPr>
        <w:t>;</w:t>
      </w:r>
    </w:p>
    <w:p w:rsidR="00604AEB" w:rsidRPr="001E7ABF" w:rsidRDefault="008C2E12" w:rsidP="00FF03FF">
      <w:pPr>
        <w:pStyle w:val="Nessunaspaziatura"/>
        <w:numPr>
          <w:ilvl w:val="1"/>
          <w:numId w:val="39"/>
        </w:numPr>
        <w:ind w:left="426"/>
        <w:rPr>
          <w:szCs w:val="24"/>
        </w:rPr>
      </w:pPr>
      <w:r>
        <w:rPr>
          <w:szCs w:val="24"/>
        </w:rPr>
        <w:t>la documentazione richiesta per la verifica</w:t>
      </w:r>
      <w:r w:rsidR="00680973">
        <w:rPr>
          <w:szCs w:val="24"/>
        </w:rPr>
        <w:t xml:space="preserve"> </w:t>
      </w:r>
      <w:r>
        <w:rPr>
          <w:szCs w:val="24"/>
        </w:rPr>
        <w:t xml:space="preserve">del rispetto dei requisiti di </w:t>
      </w:r>
      <w:r w:rsidR="0019657B">
        <w:rPr>
          <w:szCs w:val="24"/>
        </w:rPr>
        <w:t>cui all’</w:t>
      </w:r>
      <w:r w:rsidR="00342CF7">
        <w:rPr>
          <w:szCs w:val="24"/>
        </w:rPr>
        <w:t>A</w:t>
      </w:r>
      <w:r w:rsidR="0019657B">
        <w:rPr>
          <w:szCs w:val="24"/>
        </w:rPr>
        <w:t>llegato 2</w:t>
      </w:r>
      <w:r>
        <w:rPr>
          <w:szCs w:val="24"/>
        </w:rPr>
        <w:t xml:space="preserve">, </w:t>
      </w:r>
      <w:r w:rsidR="00604AEB" w:rsidRPr="001E7ABF">
        <w:rPr>
          <w:szCs w:val="24"/>
        </w:rPr>
        <w:t>secondo modelli</w:t>
      </w:r>
      <w:r w:rsidR="001360B8">
        <w:rPr>
          <w:szCs w:val="24"/>
        </w:rPr>
        <w:t xml:space="preserve"> def</w:t>
      </w:r>
      <w:r w:rsidR="00376909">
        <w:rPr>
          <w:szCs w:val="24"/>
        </w:rPr>
        <w:t xml:space="preserve">initi </w:t>
      </w:r>
      <w:r w:rsidR="00BD4616">
        <w:rPr>
          <w:szCs w:val="24"/>
        </w:rPr>
        <w:t>nelle</w:t>
      </w:r>
      <w:r w:rsidR="00BD4616" w:rsidRPr="00996ACD">
        <w:rPr>
          <w:szCs w:val="24"/>
        </w:rPr>
        <w:t xml:space="preserve"> </w:t>
      </w:r>
      <w:r w:rsidR="00BD4616" w:rsidRPr="002A3A53">
        <w:rPr>
          <w:szCs w:val="24"/>
        </w:rPr>
        <w:t>regole operative</w:t>
      </w:r>
      <w:r w:rsidR="00BD4616">
        <w:rPr>
          <w:szCs w:val="24"/>
        </w:rPr>
        <w:t xml:space="preserve"> di cui all’articolo </w:t>
      </w:r>
      <w:r w:rsidR="007C7BDD">
        <w:rPr>
          <w:szCs w:val="24"/>
        </w:rPr>
        <w:t>10</w:t>
      </w:r>
      <w:r w:rsidR="00604AEB" w:rsidRPr="001E7ABF">
        <w:rPr>
          <w:szCs w:val="24"/>
        </w:rPr>
        <w:t>.</w:t>
      </w:r>
    </w:p>
    <w:p w:rsidR="004F2C87" w:rsidRDefault="008C2E12" w:rsidP="00F3067C">
      <w:pPr>
        <w:spacing w:before="240"/>
        <w:rPr>
          <w:szCs w:val="24"/>
        </w:rPr>
      </w:pPr>
      <w:r>
        <w:rPr>
          <w:szCs w:val="24"/>
        </w:rPr>
        <w:t>2</w:t>
      </w:r>
      <w:r w:rsidR="004F2C87">
        <w:rPr>
          <w:szCs w:val="24"/>
        </w:rPr>
        <w:t>. I</w:t>
      </w:r>
      <w:r w:rsidR="004F2C87" w:rsidRPr="00A66A43">
        <w:rPr>
          <w:szCs w:val="24"/>
        </w:rPr>
        <w:t>l GSE</w:t>
      </w:r>
      <w:r w:rsidR="004F2C87">
        <w:rPr>
          <w:szCs w:val="24"/>
        </w:rPr>
        <w:t>, ricevuta la documentazione di cui al precedente comma:</w:t>
      </w:r>
    </w:p>
    <w:p w:rsidR="004F2C87" w:rsidRPr="00665976" w:rsidRDefault="00A42759" w:rsidP="00342CF7">
      <w:pPr>
        <w:pStyle w:val="Paragrafoelenco"/>
        <w:numPr>
          <w:ilvl w:val="1"/>
          <w:numId w:val="47"/>
        </w:numPr>
        <w:spacing w:before="240"/>
        <w:ind w:left="426"/>
        <w:rPr>
          <w:szCs w:val="24"/>
        </w:rPr>
      </w:pPr>
      <w:r w:rsidRPr="00B712A0">
        <w:rPr>
          <w:szCs w:val="24"/>
        </w:rPr>
        <w:t>verifica</w:t>
      </w:r>
      <w:r>
        <w:rPr>
          <w:szCs w:val="24"/>
        </w:rPr>
        <w:t>,</w:t>
      </w:r>
      <w:r w:rsidRPr="00F301C6" w:rsidDel="00B808E2">
        <w:rPr>
          <w:szCs w:val="24"/>
        </w:rPr>
        <w:t xml:space="preserve"> </w:t>
      </w:r>
      <w:r w:rsidR="005041A8" w:rsidRPr="00665976">
        <w:rPr>
          <w:szCs w:val="24"/>
        </w:rPr>
        <w:t>prima della chiusura della</w:t>
      </w:r>
      <w:r w:rsidR="00B22EB0" w:rsidRPr="00665976">
        <w:rPr>
          <w:szCs w:val="24"/>
        </w:rPr>
        <w:t xml:space="preserve"> procedura, </w:t>
      </w:r>
      <w:r w:rsidR="004F2C87" w:rsidRPr="00665976">
        <w:rPr>
          <w:szCs w:val="24"/>
        </w:rPr>
        <w:t>la completezza dell’istanza di partecipazione</w:t>
      </w:r>
      <w:r w:rsidR="0054373B">
        <w:rPr>
          <w:szCs w:val="24"/>
        </w:rPr>
        <w:t>, dandone</w:t>
      </w:r>
      <w:r w:rsidR="008051BB" w:rsidRPr="00665976">
        <w:rPr>
          <w:szCs w:val="24"/>
        </w:rPr>
        <w:t xml:space="preserve"> comunicazione </w:t>
      </w:r>
      <w:r w:rsidR="00F80EBD">
        <w:rPr>
          <w:szCs w:val="24"/>
        </w:rPr>
        <w:t xml:space="preserve">degli esiti </w:t>
      </w:r>
      <w:r w:rsidR="008051BB" w:rsidRPr="00F301C6">
        <w:rPr>
          <w:szCs w:val="24"/>
        </w:rPr>
        <w:t>al</w:t>
      </w:r>
      <w:r w:rsidR="005E5848">
        <w:rPr>
          <w:szCs w:val="24"/>
        </w:rPr>
        <w:t xml:space="preserve"> soggetto istante</w:t>
      </w:r>
      <w:r w:rsidR="004F2C87" w:rsidRPr="00A5309C">
        <w:rPr>
          <w:szCs w:val="24"/>
        </w:rPr>
        <w:t>;</w:t>
      </w:r>
    </w:p>
    <w:p w:rsidR="004F2C87" w:rsidRPr="00665976" w:rsidRDefault="00AA59F0" w:rsidP="00665976">
      <w:pPr>
        <w:pStyle w:val="Paragrafoelenco"/>
        <w:numPr>
          <w:ilvl w:val="1"/>
          <w:numId w:val="47"/>
        </w:numPr>
        <w:ind w:left="426"/>
        <w:rPr>
          <w:szCs w:val="24"/>
        </w:rPr>
      </w:pPr>
      <w:r w:rsidRPr="00654251">
        <w:rPr>
          <w:szCs w:val="24"/>
        </w:rPr>
        <w:t>esamin</w:t>
      </w:r>
      <w:r w:rsidR="0054373B">
        <w:rPr>
          <w:szCs w:val="24"/>
        </w:rPr>
        <w:t>a</w:t>
      </w:r>
      <w:r w:rsidR="003540FB">
        <w:rPr>
          <w:szCs w:val="24"/>
        </w:rPr>
        <w:t>,</w:t>
      </w:r>
      <w:r w:rsidR="003540FB" w:rsidRPr="001A26AD" w:rsidDel="00B808E2">
        <w:rPr>
          <w:szCs w:val="24"/>
        </w:rPr>
        <w:t xml:space="preserve"> </w:t>
      </w:r>
      <w:r w:rsidR="003540FB" w:rsidRPr="001A26AD">
        <w:rPr>
          <w:szCs w:val="24"/>
        </w:rPr>
        <w:t>successivamente alla chiusura della procedura</w:t>
      </w:r>
      <w:r w:rsidR="003540FB">
        <w:rPr>
          <w:szCs w:val="24"/>
        </w:rPr>
        <w:t>,</w:t>
      </w:r>
      <w:r w:rsidR="003540FB" w:rsidRPr="003540FB">
        <w:rPr>
          <w:szCs w:val="24"/>
        </w:rPr>
        <w:t xml:space="preserve"> </w:t>
      </w:r>
      <w:r w:rsidR="003540FB" w:rsidRPr="0012303C">
        <w:rPr>
          <w:szCs w:val="24"/>
        </w:rPr>
        <w:t>la documentazione trasmessa</w:t>
      </w:r>
      <w:r w:rsidR="00B348FB" w:rsidRPr="00665976">
        <w:rPr>
          <w:szCs w:val="24"/>
        </w:rPr>
        <w:t xml:space="preserve"> e</w:t>
      </w:r>
      <w:r w:rsidR="00FC519E">
        <w:rPr>
          <w:szCs w:val="24"/>
        </w:rPr>
        <w:t>,</w:t>
      </w:r>
      <w:r w:rsidR="00B348FB" w:rsidRPr="00F301C6">
        <w:rPr>
          <w:szCs w:val="24"/>
        </w:rPr>
        <w:t xml:space="preserve"> </w:t>
      </w:r>
      <w:r w:rsidR="00330A22" w:rsidRPr="00665976">
        <w:rPr>
          <w:szCs w:val="24"/>
        </w:rPr>
        <w:t>nel termine di pubblicazione della graduatoria</w:t>
      </w:r>
      <w:r w:rsidR="00B348FB" w:rsidRPr="00665976">
        <w:rPr>
          <w:szCs w:val="24"/>
        </w:rPr>
        <w:t>,</w:t>
      </w:r>
      <w:r w:rsidR="00667CCB" w:rsidRPr="00665976">
        <w:rPr>
          <w:szCs w:val="24"/>
        </w:rPr>
        <w:t xml:space="preserve"> </w:t>
      </w:r>
      <w:r w:rsidR="004F2C87" w:rsidRPr="00665976">
        <w:rPr>
          <w:szCs w:val="24"/>
        </w:rPr>
        <w:t xml:space="preserve">conclude la verifica </w:t>
      </w:r>
      <w:r w:rsidR="00705C96" w:rsidRPr="00665976">
        <w:rPr>
          <w:szCs w:val="24"/>
        </w:rPr>
        <w:t>de</w:t>
      </w:r>
      <w:r w:rsidR="004F2C87" w:rsidRPr="00665976">
        <w:rPr>
          <w:szCs w:val="24"/>
        </w:rPr>
        <w:t xml:space="preserve">l rispetto dei requisiti necessari per l’ammissione agli incentivi. </w:t>
      </w:r>
    </w:p>
    <w:p w:rsidR="00C82DE7" w:rsidRDefault="00812C70" w:rsidP="00F3067C">
      <w:pPr>
        <w:spacing w:before="240"/>
        <w:rPr>
          <w:szCs w:val="24"/>
        </w:rPr>
      </w:pPr>
      <w:r>
        <w:rPr>
          <w:szCs w:val="24"/>
        </w:rPr>
        <w:t>3</w:t>
      </w:r>
      <w:r w:rsidR="00C82DE7">
        <w:rPr>
          <w:szCs w:val="24"/>
        </w:rPr>
        <w:t>. In esito ad ogni</w:t>
      </w:r>
      <w:r w:rsidR="00C82DE7" w:rsidRPr="00A66A43">
        <w:rPr>
          <w:szCs w:val="24"/>
        </w:rPr>
        <w:t xml:space="preserve"> procedura</w:t>
      </w:r>
      <w:r w:rsidR="00C82DE7">
        <w:rPr>
          <w:szCs w:val="24"/>
        </w:rPr>
        <w:t>,</w:t>
      </w:r>
      <w:r w:rsidR="00C82DE7" w:rsidRPr="00A66A43">
        <w:rPr>
          <w:szCs w:val="24"/>
        </w:rPr>
        <w:t xml:space="preserve"> </w:t>
      </w:r>
      <w:r w:rsidR="00C82DE7">
        <w:rPr>
          <w:szCs w:val="24"/>
        </w:rPr>
        <w:t>il GSE</w:t>
      </w:r>
      <w:r w:rsidR="00C82DE7" w:rsidRPr="00A66A43">
        <w:rPr>
          <w:szCs w:val="24"/>
        </w:rPr>
        <w:t xml:space="preserve">, nei limiti dei contingenti disponibili, </w:t>
      </w:r>
      <w:r w:rsidR="00C82DE7">
        <w:rPr>
          <w:szCs w:val="24"/>
        </w:rPr>
        <w:t>forma una graduatoria che tiene conto</w:t>
      </w:r>
      <w:r w:rsidR="00C82DE7" w:rsidRPr="00A66A43">
        <w:rPr>
          <w:szCs w:val="24"/>
        </w:rPr>
        <w:t xml:space="preserve"> d</w:t>
      </w:r>
      <w:r w:rsidR="00C82DE7">
        <w:rPr>
          <w:szCs w:val="24"/>
        </w:rPr>
        <w:t>e</w:t>
      </w:r>
      <w:r w:rsidR="00C82DE7" w:rsidRPr="00A66A43">
        <w:rPr>
          <w:szCs w:val="24"/>
        </w:rPr>
        <w:t>l</w:t>
      </w:r>
      <w:r w:rsidR="00C82DE7">
        <w:rPr>
          <w:szCs w:val="24"/>
        </w:rPr>
        <w:t xml:space="preserve"> </w:t>
      </w:r>
      <w:r w:rsidR="00C82DE7" w:rsidRPr="00A66A43">
        <w:rPr>
          <w:szCs w:val="24"/>
        </w:rPr>
        <w:t>ribasso percentualmente offerto rispetto alla tariffa di riferimento.</w:t>
      </w:r>
      <w:r w:rsidR="00BD712A">
        <w:rPr>
          <w:szCs w:val="24"/>
        </w:rPr>
        <w:t xml:space="preserve"> </w:t>
      </w:r>
      <w:r w:rsidR="00BD712A" w:rsidRPr="00CE3A4E">
        <w:rPr>
          <w:szCs w:val="24"/>
        </w:rPr>
        <w:t>L’inserimento in posizione utile nelle graduatorie costituisce impegno al riconoscimento della tariffa spettante.</w:t>
      </w:r>
    </w:p>
    <w:p w:rsidR="00C82DE7" w:rsidRPr="00A66A43" w:rsidRDefault="00812C70" w:rsidP="00F3067C">
      <w:pPr>
        <w:spacing w:before="240"/>
        <w:rPr>
          <w:szCs w:val="24"/>
        </w:rPr>
      </w:pPr>
      <w:r>
        <w:rPr>
          <w:szCs w:val="24"/>
        </w:rPr>
        <w:t>4</w:t>
      </w:r>
      <w:r w:rsidR="00C82DE7">
        <w:rPr>
          <w:szCs w:val="24"/>
        </w:rPr>
        <w:t xml:space="preserve">. </w:t>
      </w:r>
      <w:r w:rsidR="00C82DE7" w:rsidRPr="00A66A43">
        <w:rPr>
          <w:szCs w:val="24"/>
        </w:rPr>
        <w:t xml:space="preserve">Nel caso in cui le </w:t>
      </w:r>
      <w:r w:rsidR="00CB4DA1">
        <w:rPr>
          <w:szCs w:val="24"/>
        </w:rPr>
        <w:t>istanze</w:t>
      </w:r>
      <w:r w:rsidR="00C82DE7" w:rsidRPr="00A66A43">
        <w:rPr>
          <w:szCs w:val="24"/>
        </w:rPr>
        <w:t xml:space="preserve"> di partecipazione</w:t>
      </w:r>
      <w:r w:rsidR="00CB4DA1">
        <w:rPr>
          <w:szCs w:val="24"/>
        </w:rPr>
        <w:t>, complessivamente considerate, comportino</w:t>
      </w:r>
      <w:r w:rsidR="00C82DE7" w:rsidRPr="00A66A43">
        <w:rPr>
          <w:szCs w:val="24"/>
        </w:rPr>
        <w:t xml:space="preserve"> il superamento del contingente messo a disposizione per la singola procedura, il GSE </w:t>
      </w:r>
      <w:r w:rsidR="00C82DE7">
        <w:rPr>
          <w:szCs w:val="24"/>
        </w:rPr>
        <w:t>applica, a parità di ribasso percentuale offerto, i seguenti ulteriori criteri di priorità</w:t>
      </w:r>
      <w:r w:rsidR="00C82DE7" w:rsidRPr="00A66A43">
        <w:rPr>
          <w:szCs w:val="24"/>
        </w:rPr>
        <w:t>:</w:t>
      </w:r>
    </w:p>
    <w:p w:rsidR="00C82DE7" w:rsidRDefault="00A14A35" w:rsidP="00FF03FF">
      <w:pPr>
        <w:pStyle w:val="Paragrafoelenco"/>
        <w:numPr>
          <w:ilvl w:val="2"/>
          <w:numId w:val="29"/>
        </w:numPr>
        <w:suppressAutoHyphens w:val="0"/>
        <w:overflowPunct/>
        <w:autoSpaceDE/>
        <w:autoSpaceDN/>
        <w:adjustRightInd/>
        <w:spacing w:before="240" w:after="160" w:line="259" w:lineRule="auto"/>
        <w:ind w:left="426"/>
        <w:contextualSpacing/>
        <w:textAlignment w:val="auto"/>
        <w:rPr>
          <w:szCs w:val="24"/>
        </w:rPr>
      </w:pPr>
      <w:r>
        <w:rPr>
          <w:szCs w:val="24"/>
        </w:rPr>
        <w:t>impianti realizzati nell</w:t>
      </w:r>
      <w:r w:rsidR="00E71BEC">
        <w:rPr>
          <w:szCs w:val="24"/>
        </w:rPr>
        <w:t>e</w:t>
      </w:r>
      <w:r>
        <w:rPr>
          <w:szCs w:val="24"/>
        </w:rPr>
        <w:t xml:space="preserve"> aree identificate come idonee</w:t>
      </w:r>
      <w:r w:rsidR="0007655D">
        <w:rPr>
          <w:szCs w:val="24"/>
        </w:rPr>
        <w:t xml:space="preserve"> in attuazione dell’articolo</w:t>
      </w:r>
      <w:r w:rsidR="001B1E0B">
        <w:rPr>
          <w:szCs w:val="24"/>
        </w:rPr>
        <w:t xml:space="preserve"> 20 del decreto legislativo </w:t>
      </w:r>
      <w:r w:rsidR="006E1DBD">
        <w:rPr>
          <w:szCs w:val="24"/>
        </w:rPr>
        <w:t>199 del 2021</w:t>
      </w:r>
      <w:r w:rsidR="00C82DE7">
        <w:rPr>
          <w:szCs w:val="24"/>
        </w:rPr>
        <w:t>;</w:t>
      </w:r>
    </w:p>
    <w:p w:rsidR="00C82DE7" w:rsidRPr="00F60791" w:rsidRDefault="00C82DE7" w:rsidP="00FF03FF">
      <w:pPr>
        <w:pStyle w:val="Paragrafoelenco"/>
        <w:numPr>
          <w:ilvl w:val="2"/>
          <w:numId w:val="29"/>
        </w:numPr>
        <w:suppressAutoHyphens w:val="0"/>
        <w:overflowPunct/>
        <w:autoSpaceDE/>
        <w:autoSpaceDN/>
        <w:adjustRightInd/>
        <w:spacing w:after="160" w:line="259" w:lineRule="auto"/>
        <w:ind w:left="426"/>
        <w:contextualSpacing/>
        <w:textAlignment w:val="auto"/>
        <w:rPr>
          <w:szCs w:val="24"/>
        </w:rPr>
      </w:pPr>
      <w:r w:rsidRPr="00F60791">
        <w:rPr>
          <w:szCs w:val="24"/>
        </w:rPr>
        <w:t>anteriorità della data ultima di completamento della domanda di partecipazione alla procedura</w:t>
      </w:r>
      <w:r>
        <w:rPr>
          <w:szCs w:val="24"/>
        </w:rPr>
        <w:t>.</w:t>
      </w:r>
    </w:p>
    <w:p w:rsidR="00C82DE7" w:rsidRDefault="00812C70" w:rsidP="00C82DE7">
      <w:pPr>
        <w:rPr>
          <w:szCs w:val="24"/>
        </w:rPr>
      </w:pPr>
      <w:r>
        <w:rPr>
          <w:szCs w:val="24"/>
        </w:rPr>
        <w:t>5</w:t>
      </w:r>
      <w:r w:rsidR="00C82DE7">
        <w:rPr>
          <w:szCs w:val="24"/>
        </w:rPr>
        <w:t xml:space="preserve">. </w:t>
      </w:r>
      <w:r w:rsidR="00C82DE7" w:rsidRPr="00A66A43">
        <w:rPr>
          <w:szCs w:val="24"/>
        </w:rPr>
        <w:t xml:space="preserve">Il GSE pubblica sul proprio sito le graduatorie </w:t>
      </w:r>
      <w:r w:rsidR="0004062B" w:rsidRPr="00A66A43">
        <w:rPr>
          <w:szCs w:val="24"/>
        </w:rPr>
        <w:t>degli impianti selezionati</w:t>
      </w:r>
      <w:r w:rsidR="00F301C6">
        <w:rPr>
          <w:szCs w:val="24"/>
        </w:rPr>
        <w:t>,</w:t>
      </w:r>
      <w:r w:rsidR="0004062B" w:rsidRPr="00A66A43">
        <w:rPr>
          <w:szCs w:val="24"/>
        </w:rPr>
        <w:t xml:space="preserve"> </w:t>
      </w:r>
      <w:r w:rsidR="00C82DE7">
        <w:rPr>
          <w:szCs w:val="24"/>
        </w:rPr>
        <w:t>formate secondo i criteri di cui ai precedenti commi</w:t>
      </w:r>
      <w:r w:rsidR="00C82DE7" w:rsidRPr="00A66A43">
        <w:rPr>
          <w:szCs w:val="24"/>
        </w:rPr>
        <w:t xml:space="preserve">, </w:t>
      </w:r>
      <w:r w:rsidR="0004062B">
        <w:rPr>
          <w:szCs w:val="24"/>
        </w:rPr>
        <w:t>dando evidenza dei</w:t>
      </w:r>
      <w:r w:rsidR="00C82DE7" w:rsidRPr="00A66A43">
        <w:rPr>
          <w:szCs w:val="24"/>
        </w:rPr>
        <w:t xml:space="preserve"> criteri di priorità eventualmente applicati. </w:t>
      </w:r>
    </w:p>
    <w:p w:rsidR="00527D6C" w:rsidRPr="00C726E9" w:rsidRDefault="00527D6C" w:rsidP="00F3067C">
      <w:pPr>
        <w:pStyle w:val="Sottotitolo"/>
        <w:spacing w:before="360" w:after="360"/>
        <w:jc w:val="center"/>
        <w:outlineLvl w:val="1"/>
        <w:rPr>
          <w:b w:val="0"/>
          <w:bCs/>
          <w:i/>
          <w:iCs/>
        </w:rPr>
      </w:pPr>
      <w:r w:rsidRPr="00C726E9">
        <w:lastRenderedPageBreak/>
        <w:t>Art</w:t>
      </w:r>
      <w:r w:rsidR="00603465">
        <w:t>.</w:t>
      </w:r>
      <w:r w:rsidRPr="00C726E9">
        <w:t xml:space="preserve"> 6</w:t>
      </w:r>
      <w:r w:rsidR="001E614B">
        <w:br/>
      </w:r>
      <w:r w:rsidRPr="00C726E9">
        <w:rPr>
          <w:b w:val="0"/>
          <w:bCs/>
          <w:i/>
          <w:iCs/>
        </w:rPr>
        <w:t xml:space="preserve">(Valutazione </w:t>
      </w:r>
      <w:r w:rsidR="0017123C" w:rsidRPr="00F3067C">
        <w:rPr>
          <w:b w:val="0"/>
          <w:bCs/>
          <w:i/>
        </w:rPr>
        <w:t>accelerata</w:t>
      </w:r>
      <w:r w:rsidR="0017123C" w:rsidRPr="00C726E9">
        <w:rPr>
          <w:b w:val="0"/>
          <w:bCs/>
          <w:i/>
          <w:iCs/>
        </w:rPr>
        <w:t xml:space="preserve"> dei progetti di grandi dimensioni)</w:t>
      </w:r>
    </w:p>
    <w:p w:rsidR="00527D6C" w:rsidRDefault="00527D6C" w:rsidP="00527D6C">
      <w:pPr>
        <w:suppressAutoHyphens w:val="0"/>
        <w:overflowPunct/>
        <w:autoSpaceDE/>
        <w:autoSpaceDN/>
        <w:adjustRightInd/>
        <w:spacing w:before="240" w:after="160" w:line="259" w:lineRule="auto"/>
        <w:contextualSpacing/>
        <w:textAlignment w:val="auto"/>
      </w:pPr>
      <w:r>
        <w:t xml:space="preserve">1. </w:t>
      </w:r>
      <w:r w:rsidR="00450704">
        <w:t>P</w:t>
      </w:r>
      <w:r w:rsidRPr="00BE1CB7">
        <w:t xml:space="preserve">er gli impianti di potenza superiore a 10 MW, </w:t>
      </w:r>
      <w:r w:rsidR="00EB6A0F">
        <w:t xml:space="preserve">il </w:t>
      </w:r>
      <w:r w:rsidR="00A31C96">
        <w:t xml:space="preserve">proponente può </w:t>
      </w:r>
      <w:r w:rsidR="00A94F82">
        <w:t xml:space="preserve">avvalersi della procedura </w:t>
      </w:r>
      <w:r w:rsidR="00862BA1">
        <w:t xml:space="preserve">accelerata di valutazione dei progetti </w:t>
      </w:r>
      <w:r w:rsidR="00A94F82">
        <w:t>indicata ai successivi commi.</w:t>
      </w:r>
    </w:p>
    <w:p w:rsidR="002907F3" w:rsidRDefault="00A94F82" w:rsidP="00F3067C">
      <w:pPr>
        <w:suppressAutoHyphens w:val="0"/>
        <w:overflowPunct/>
        <w:autoSpaceDE/>
        <w:autoSpaceDN/>
        <w:adjustRightInd/>
        <w:spacing w:before="240" w:after="240" w:line="259" w:lineRule="auto"/>
        <w:textAlignment w:val="auto"/>
      </w:pPr>
      <w:r>
        <w:t xml:space="preserve">2. </w:t>
      </w:r>
      <w:r w:rsidR="00A764E1">
        <w:t>A seguito di specifica richiesta del proponente, da inoltrar</w:t>
      </w:r>
      <w:r w:rsidR="004B3180">
        <w:t>e</w:t>
      </w:r>
      <w:r w:rsidR="00A764E1">
        <w:t xml:space="preserve"> </w:t>
      </w:r>
      <w:r w:rsidR="00BC4749">
        <w:t>congiuntamente</w:t>
      </w:r>
      <w:r w:rsidR="00A764E1">
        <w:t xml:space="preserve"> alla </w:t>
      </w:r>
      <w:r w:rsidR="0025018A">
        <w:t>domanda</w:t>
      </w:r>
      <w:r w:rsidR="00A764E1">
        <w:t xml:space="preserve"> di autorizzazione unica, </w:t>
      </w:r>
      <w:r w:rsidR="00527D6C" w:rsidRPr="00BE1CB7">
        <w:t xml:space="preserve">il GSE esamina il progetto per via telematica </w:t>
      </w:r>
      <w:r w:rsidR="00E52D81">
        <w:t>parallelamente</w:t>
      </w:r>
      <w:r w:rsidR="00527D6C" w:rsidRPr="00BE1CB7">
        <w:t xml:space="preserve"> allo svolgimento del procedimento di autorizzazione</w:t>
      </w:r>
      <w:r w:rsidR="00D315E0">
        <w:t xml:space="preserve"> unica</w:t>
      </w:r>
      <w:r w:rsidR="00F21BCD">
        <w:t xml:space="preserve"> di cui all’articolo </w:t>
      </w:r>
      <w:r w:rsidR="004B3180">
        <w:t>5 del decreto legislativo</w:t>
      </w:r>
      <w:r w:rsidR="00996ACD">
        <w:t xml:space="preserve"> 3 marzo 2011,</w:t>
      </w:r>
      <w:r w:rsidR="004B3180">
        <w:t xml:space="preserve"> n. 28</w:t>
      </w:r>
      <w:r w:rsidR="00DB791F">
        <w:t>.</w:t>
      </w:r>
    </w:p>
    <w:p w:rsidR="00343CB2" w:rsidRDefault="00343CB2" w:rsidP="00F3067C">
      <w:pPr>
        <w:suppressAutoHyphens w:val="0"/>
        <w:overflowPunct/>
        <w:autoSpaceDE/>
        <w:autoSpaceDN/>
        <w:adjustRightInd/>
        <w:spacing w:before="240" w:after="240" w:line="259" w:lineRule="auto"/>
        <w:textAlignment w:val="auto"/>
      </w:pPr>
      <w:r>
        <w:t>3</w:t>
      </w:r>
      <w:r w:rsidR="00DB791F">
        <w:t>. E</w:t>
      </w:r>
      <w:r w:rsidR="001E09B8">
        <w:t xml:space="preserve">ntro </w:t>
      </w:r>
      <w:r w:rsidR="002C350B">
        <w:t>3</w:t>
      </w:r>
      <w:r w:rsidR="00A94F82">
        <w:t>0 giorni dalla data di</w:t>
      </w:r>
      <w:r w:rsidR="00527D6C" w:rsidRPr="00BE1CB7">
        <w:t xml:space="preserve"> rilascio del provvedimento di autorizzazione</w:t>
      </w:r>
      <w:r w:rsidR="0017123C">
        <w:t xml:space="preserve">, il GSE rilascia al proponente </w:t>
      </w:r>
      <w:r w:rsidR="00E9176C">
        <w:t xml:space="preserve">una </w:t>
      </w:r>
      <w:r w:rsidR="003A5DAC">
        <w:t>qualifica di idoneità alla richiesta di incentivi.</w:t>
      </w:r>
    </w:p>
    <w:p w:rsidR="00527D6C" w:rsidRDefault="0017123C" w:rsidP="00F3067C">
      <w:pPr>
        <w:spacing w:before="240" w:after="240"/>
        <w:rPr>
          <w:szCs w:val="24"/>
        </w:rPr>
      </w:pPr>
      <w:r>
        <w:t xml:space="preserve">4. </w:t>
      </w:r>
      <w:r w:rsidR="00070BAB">
        <w:t>Gl</w:t>
      </w:r>
      <w:r w:rsidR="00527D6C" w:rsidRPr="00BE1CB7">
        <w:t xml:space="preserve">i impianti dotati dell’idoneità </w:t>
      </w:r>
      <w:r w:rsidR="00EE7F81">
        <w:t>di cui al comma</w:t>
      </w:r>
      <w:r w:rsidR="00070BAB">
        <w:t xml:space="preserve"> 3</w:t>
      </w:r>
      <w:r w:rsidR="000442E2">
        <w:t>,</w:t>
      </w:r>
      <w:r w:rsidR="00527D6C" w:rsidRPr="00BE1CB7">
        <w:t xml:space="preserve"> </w:t>
      </w:r>
      <w:r w:rsidR="00172466">
        <w:t xml:space="preserve">che </w:t>
      </w:r>
      <w:r w:rsidR="00527D6C" w:rsidRPr="00BE1CB7">
        <w:t xml:space="preserve">presentano domanda di accesso </w:t>
      </w:r>
      <w:r w:rsidR="00733567">
        <w:t>a</w:t>
      </w:r>
      <w:r w:rsidR="004D2A20">
        <w:t>lla prima procedura utile bandita ai sensi del</w:t>
      </w:r>
      <w:r w:rsidR="00733567">
        <w:t xml:space="preserve"> </w:t>
      </w:r>
      <w:r w:rsidR="002F5D2A">
        <w:t>presente decreto</w:t>
      </w:r>
      <w:r w:rsidR="00172466">
        <w:t>,</w:t>
      </w:r>
      <w:r w:rsidR="00527D6C" w:rsidRPr="00BE1CB7">
        <w:t xml:space="preserve"> </w:t>
      </w:r>
      <w:r w:rsidR="00172466">
        <w:t>sono tenuti ad inviare</w:t>
      </w:r>
      <w:r w:rsidR="000C0BC9">
        <w:t xml:space="preserve"> </w:t>
      </w:r>
      <w:r w:rsidR="00351A4D">
        <w:t xml:space="preserve">al GSE </w:t>
      </w:r>
      <w:r w:rsidR="000C0BC9">
        <w:t>esclusiv</w:t>
      </w:r>
      <w:r w:rsidR="0091423D">
        <w:t>amente</w:t>
      </w:r>
      <w:r w:rsidR="000C0BC9">
        <w:t xml:space="preserve"> l’offerta</w:t>
      </w:r>
      <w:r w:rsidR="0091423D">
        <w:t xml:space="preserve"> al ribasso</w:t>
      </w:r>
      <w:r w:rsidR="000C0BC9">
        <w:t xml:space="preserve"> di cui all’articolo</w:t>
      </w:r>
      <w:r w:rsidR="002F5D2A">
        <w:t xml:space="preserve"> 5, comma 1, lettera a). </w:t>
      </w:r>
    </w:p>
    <w:p w:rsidR="00626B39" w:rsidRDefault="002A1AF4" w:rsidP="00F3067C">
      <w:pPr>
        <w:spacing w:before="240" w:after="240"/>
        <w:rPr>
          <w:szCs w:val="24"/>
        </w:rPr>
      </w:pPr>
      <w:r>
        <w:rPr>
          <w:szCs w:val="24"/>
        </w:rPr>
        <w:t xml:space="preserve">5. </w:t>
      </w:r>
      <w:r w:rsidR="00A10E25">
        <w:rPr>
          <w:szCs w:val="24"/>
        </w:rPr>
        <w:t>I</w:t>
      </w:r>
      <w:r>
        <w:rPr>
          <w:szCs w:val="24"/>
        </w:rPr>
        <w:t>l GSE può stipula</w:t>
      </w:r>
      <w:r w:rsidR="00AB449E">
        <w:rPr>
          <w:szCs w:val="24"/>
        </w:rPr>
        <w:t>re</w:t>
      </w:r>
      <w:r>
        <w:rPr>
          <w:szCs w:val="24"/>
        </w:rPr>
        <w:t xml:space="preserve"> accordi con le Amministrazioni competenti al rilascio dell’autorizzazione unica, al fine di favorire lo scambio di documenti e </w:t>
      </w:r>
      <w:r w:rsidR="00A82981">
        <w:rPr>
          <w:szCs w:val="24"/>
        </w:rPr>
        <w:t>un’</w:t>
      </w:r>
      <w:r>
        <w:rPr>
          <w:szCs w:val="24"/>
        </w:rPr>
        <w:t xml:space="preserve">analisi </w:t>
      </w:r>
      <w:r w:rsidR="00BA69F9">
        <w:rPr>
          <w:szCs w:val="24"/>
        </w:rPr>
        <w:t>efficiente</w:t>
      </w:r>
      <w:r w:rsidR="00626B39">
        <w:rPr>
          <w:szCs w:val="24"/>
        </w:rPr>
        <w:t xml:space="preserve"> dei progetti</w:t>
      </w:r>
      <w:r w:rsidR="000C20B1">
        <w:rPr>
          <w:szCs w:val="24"/>
        </w:rPr>
        <w:t xml:space="preserve">, </w:t>
      </w:r>
      <w:r w:rsidR="00720B71">
        <w:rPr>
          <w:szCs w:val="24"/>
        </w:rPr>
        <w:t xml:space="preserve">da effettuare </w:t>
      </w:r>
      <w:r w:rsidR="000C20B1">
        <w:rPr>
          <w:szCs w:val="24"/>
        </w:rPr>
        <w:t xml:space="preserve">anche </w:t>
      </w:r>
      <w:r w:rsidR="00720B71">
        <w:rPr>
          <w:szCs w:val="24"/>
        </w:rPr>
        <w:t>ricorrendo</w:t>
      </w:r>
      <w:r w:rsidR="00C27540">
        <w:rPr>
          <w:szCs w:val="24"/>
        </w:rPr>
        <w:t xml:space="preserve"> </w:t>
      </w:r>
      <w:r w:rsidR="00720B71">
        <w:rPr>
          <w:szCs w:val="24"/>
        </w:rPr>
        <w:t>a</w:t>
      </w:r>
      <w:r w:rsidR="000C20B1">
        <w:rPr>
          <w:szCs w:val="24"/>
        </w:rPr>
        <w:t>l portale unico</w:t>
      </w:r>
      <w:r w:rsidR="002D16CF">
        <w:rPr>
          <w:szCs w:val="24"/>
        </w:rPr>
        <w:t xml:space="preserve"> digitale</w:t>
      </w:r>
      <w:r w:rsidR="000C20B1">
        <w:rPr>
          <w:szCs w:val="24"/>
        </w:rPr>
        <w:t xml:space="preserve"> di cui all’articolo </w:t>
      </w:r>
      <w:r w:rsidR="00C27540">
        <w:rPr>
          <w:szCs w:val="24"/>
        </w:rPr>
        <w:t xml:space="preserve">19 del decreto legislativo </w:t>
      </w:r>
      <w:r w:rsidR="006E1DBD">
        <w:rPr>
          <w:szCs w:val="24"/>
        </w:rPr>
        <w:t>199 del 2021</w:t>
      </w:r>
      <w:r w:rsidR="00C27540">
        <w:rPr>
          <w:szCs w:val="24"/>
        </w:rPr>
        <w:t xml:space="preserve">. </w:t>
      </w:r>
    </w:p>
    <w:p w:rsidR="00604AEB" w:rsidRPr="00C726E9" w:rsidRDefault="00604AEB" w:rsidP="00F3067C">
      <w:pPr>
        <w:pStyle w:val="Sottotitolo"/>
        <w:spacing w:before="360" w:after="360"/>
        <w:jc w:val="center"/>
        <w:outlineLvl w:val="1"/>
        <w:rPr>
          <w:b w:val="0"/>
          <w:bCs/>
          <w:i/>
          <w:iCs/>
        </w:rPr>
      </w:pPr>
      <w:bookmarkStart w:id="7" w:name="_Toc8978894"/>
      <w:r w:rsidRPr="001E7ABF">
        <w:t xml:space="preserve">Art. </w:t>
      </w:r>
      <w:bookmarkEnd w:id="7"/>
      <w:r w:rsidR="00F71306">
        <w:t>7</w:t>
      </w:r>
      <w:r w:rsidR="00171413" w:rsidRPr="003A1739">
        <w:br/>
      </w:r>
      <w:bookmarkStart w:id="8" w:name="_Toc8978895"/>
      <w:r w:rsidRPr="00C726E9">
        <w:rPr>
          <w:b w:val="0"/>
          <w:bCs/>
          <w:i/>
          <w:iCs/>
        </w:rPr>
        <w:t>(</w:t>
      </w:r>
      <w:r w:rsidR="002017A5">
        <w:rPr>
          <w:b w:val="0"/>
          <w:bCs/>
          <w:i/>
          <w:iCs/>
        </w:rPr>
        <w:t xml:space="preserve">Tempi </w:t>
      </w:r>
      <w:r w:rsidR="00F63A9D">
        <w:rPr>
          <w:b w:val="0"/>
          <w:bCs/>
          <w:i/>
          <w:iCs/>
        </w:rPr>
        <w:t>massimi per la r</w:t>
      </w:r>
      <w:r w:rsidR="009717B0" w:rsidRPr="00C726E9">
        <w:rPr>
          <w:b w:val="0"/>
          <w:bCs/>
          <w:i/>
          <w:iCs/>
        </w:rPr>
        <w:t>ealizzazione degli interventi</w:t>
      </w:r>
      <w:r w:rsidRPr="00C726E9">
        <w:rPr>
          <w:b w:val="0"/>
          <w:bCs/>
          <w:i/>
          <w:iCs/>
        </w:rPr>
        <w:t>)</w:t>
      </w:r>
      <w:bookmarkEnd w:id="8"/>
    </w:p>
    <w:p w:rsidR="00057F71" w:rsidRDefault="00604AEB" w:rsidP="00FC5D36">
      <w:pPr>
        <w:pStyle w:val="Nessunaspaziatura"/>
        <w:spacing w:before="240" w:after="480"/>
        <w:rPr>
          <w:szCs w:val="24"/>
        </w:rPr>
      </w:pPr>
      <w:r w:rsidRPr="001E7ABF">
        <w:rPr>
          <w:szCs w:val="24"/>
        </w:rPr>
        <w:t xml:space="preserve">1. </w:t>
      </w:r>
      <w:r w:rsidR="00E42210">
        <w:rPr>
          <w:szCs w:val="24"/>
        </w:rPr>
        <w:t xml:space="preserve">Gli impianti risultati in posizione utile nelle relative </w:t>
      </w:r>
      <w:r w:rsidR="00057F71">
        <w:rPr>
          <w:szCs w:val="24"/>
        </w:rPr>
        <w:t>graduatorie entrano in esercizio nei tempi massimi indicati nella Tabella 2.</w:t>
      </w:r>
      <w:r w:rsidR="008B0DB2" w:rsidRPr="00D27CCC">
        <w:rPr>
          <w:szCs w:val="24"/>
        </w:rPr>
        <w:t xml:space="preserve"> </w:t>
      </w:r>
      <w:r w:rsidR="007D4336">
        <w:rPr>
          <w:szCs w:val="24"/>
        </w:rPr>
        <w:t>I predetti</w:t>
      </w:r>
      <w:r w:rsidR="00202A90" w:rsidRPr="00D27CCC">
        <w:rPr>
          <w:szCs w:val="24"/>
        </w:rPr>
        <w:t xml:space="preserve"> termini sono da considerare al netto dei tempi di fermo nella realizzazione dell'impianto e delle opere connesse, derivanti da cause di forza maggiore.</w:t>
      </w:r>
    </w:p>
    <w:tbl>
      <w:tblPr>
        <w:tblStyle w:val="Grigliatabella"/>
        <w:tblW w:w="0" w:type="auto"/>
        <w:jc w:val="center"/>
        <w:tblLayout w:type="fixed"/>
        <w:tblCellMar>
          <w:left w:w="57" w:type="dxa"/>
          <w:right w:w="57" w:type="dxa"/>
        </w:tblCellMar>
        <w:tblLook w:val="04A0" w:firstRow="1" w:lastRow="0" w:firstColumn="1" w:lastColumn="0" w:noHBand="0" w:noVBand="1"/>
      </w:tblPr>
      <w:tblGrid>
        <w:gridCol w:w="2977"/>
        <w:gridCol w:w="1554"/>
        <w:gridCol w:w="1560"/>
      </w:tblGrid>
      <w:tr w:rsidR="00476DA3" w:rsidRPr="001E7ABF" w:rsidTr="006B1B1C">
        <w:trPr>
          <w:cantSplit/>
          <w:trHeight w:val="605"/>
          <w:jc w:val="center"/>
        </w:trPr>
        <w:tc>
          <w:tcPr>
            <w:tcW w:w="2977" w:type="dxa"/>
            <w:vAlign w:val="center"/>
          </w:tcPr>
          <w:p w:rsidR="00476DA3" w:rsidRPr="001E7ABF" w:rsidRDefault="00476DA3" w:rsidP="00E66F5F">
            <w:pPr>
              <w:pStyle w:val="Nessunaspaziatura"/>
              <w:jc w:val="center"/>
              <w:rPr>
                <w:b/>
                <w:sz w:val="22"/>
                <w:szCs w:val="22"/>
              </w:rPr>
            </w:pPr>
            <w:r w:rsidRPr="001E7ABF">
              <w:rPr>
                <w:b/>
                <w:sz w:val="22"/>
                <w:szCs w:val="22"/>
              </w:rPr>
              <w:t>Tipologie di impianto</w:t>
            </w:r>
          </w:p>
        </w:tc>
        <w:tc>
          <w:tcPr>
            <w:tcW w:w="1554" w:type="dxa"/>
            <w:vAlign w:val="center"/>
          </w:tcPr>
          <w:p w:rsidR="00476DA3" w:rsidRPr="001E7ABF" w:rsidRDefault="00476DA3" w:rsidP="00E66F5F">
            <w:pPr>
              <w:pStyle w:val="Nessunaspaziatura"/>
              <w:jc w:val="center"/>
              <w:rPr>
                <w:i/>
                <w:sz w:val="22"/>
                <w:szCs w:val="22"/>
              </w:rPr>
            </w:pPr>
            <w:r w:rsidRPr="001E7ABF">
              <w:rPr>
                <w:b/>
                <w:sz w:val="22"/>
                <w:szCs w:val="22"/>
              </w:rPr>
              <w:t>Categorie di intervento</w:t>
            </w:r>
          </w:p>
        </w:tc>
        <w:tc>
          <w:tcPr>
            <w:tcW w:w="1560" w:type="dxa"/>
            <w:vAlign w:val="center"/>
          </w:tcPr>
          <w:p w:rsidR="00476DA3" w:rsidRPr="001E7ABF" w:rsidRDefault="00476DA3" w:rsidP="00E66F5F">
            <w:pPr>
              <w:pStyle w:val="Nessunaspaziatura"/>
              <w:jc w:val="center"/>
              <w:rPr>
                <w:i/>
                <w:sz w:val="22"/>
                <w:szCs w:val="22"/>
              </w:rPr>
            </w:pPr>
            <w:r w:rsidRPr="001E7ABF">
              <w:rPr>
                <w:b/>
                <w:sz w:val="22"/>
                <w:szCs w:val="22"/>
              </w:rPr>
              <w:t>Mesi</w:t>
            </w:r>
          </w:p>
        </w:tc>
      </w:tr>
      <w:tr w:rsidR="002A5A9C" w:rsidRPr="001E7ABF" w:rsidTr="006B1B1C">
        <w:trPr>
          <w:cantSplit/>
          <w:trHeight w:val="20"/>
          <w:jc w:val="center"/>
        </w:trPr>
        <w:tc>
          <w:tcPr>
            <w:tcW w:w="2977" w:type="dxa"/>
            <w:vAlign w:val="center"/>
          </w:tcPr>
          <w:p w:rsidR="002A5A9C" w:rsidRPr="001E7ABF" w:rsidRDefault="002A5A9C" w:rsidP="00E66F5F">
            <w:pPr>
              <w:pStyle w:val="Nessunaspaziatura"/>
              <w:jc w:val="left"/>
              <w:rPr>
                <w:sz w:val="22"/>
                <w:szCs w:val="22"/>
              </w:rPr>
            </w:pPr>
            <w:r w:rsidRPr="001E7ABF">
              <w:rPr>
                <w:sz w:val="22"/>
                <w:szCs w:val="22"/>
              </w:rPr>
              <w:t>Biogas</w:t>
            </w:r>
          </w:p>
        </w:tc>
        <w:tc>
          <w:tcPr>
            <w:tcW w:w="1554" w:type="dxa"/>
            <w:vAlign w:val="center"/>
          </w:tcPr>
          <w:p w:rsidR="002A5A9C" w:rsidRPr="001E7ABF" w:rsidRDefault="002A5A9C" w:rsidP="00E66F5F">
            <w:pPr>
              <w:pStyle w:val="Nessunaspaziatura"/>
              <w:jc w:val="left"/>
              <w:rPr>
                <w:sz w:val="22"/>
                <w:szCs w:val="22"/>
              </w:rPr>
            </w:pPr>
            <w:r w:rsidRPr="001E7ABF">
              <w:rPr>
                <w:sz w:val="22"/>
                <w:szCs w:val="22"/>
              </w:rPr>
              <w:t>Nuovi impianti</w:t>
            </w:r>
          </w:p>
        </w:tc>
        <w:tc>
          <w:tcPr>
            <w:tcW w:w="1560" w:type="dxa"/>
            <w:vAlign w:val="center"/>
          </w:tcPr>
          <w:p w:rsidR="002A5A9C" w:rsidRPr="001E7ABF" w:rsidRDefault="002A5A9C" w:rsidP="00C726E9">
            <w:pPr>
              <w:pStyle w:val="Nessunaspaziatura"/>
              <w:jc w:val="center"/>
              <w:rPr>
                <w:sz w:val="22"/>
                <w:szCs w:val="22"/>
              </w:rPr>
            </w:pPr>
            <w:r w:rsidRPr="001E7ABF">
              <w:rPr>
                <w:sz w:val="22"/>
                <w:szCs w:val="22"/>
              </w:rPr>
              <w:t>31</w:t>
            </w:r>
          </w:p>
        </w:tc>
      </w:tr>
      <w:tr w:rsidR="002A5A9C" w:rsidRPr="001E7ABF" w:rsidTr="006B1B1C">
        <w:trPr>
          <w:cantSplit/>
          <w:trHeight w:val="20"/>
          <w:jc w:val="center"/>
        </w:trPr>
        <w:tc>
          <w:tcPr>
            <w:tcW w:w="2977" w:type="dxa"/>
            <w:vAlign w:val="center"/>
          </w:tcPr>
          <w:p w:rsidR="002A5A9C" w:rsidRPr="001E7ABF" w:rsidRDefault="002A5A9C" w:rsidP="00E66F5F">
            <w:pPr>
              <w:pStyle w:val="Nessunaspaziatura"/>
              <w:jc w:val="left"/>
              <w:rPr>
                <w:sz w:val="22"/>
                <w:szCs w:val="22"/>
              </w:rPr>
            </w:pPr>
            <w:bookmarkStart w:id="9" w:name="_GoBack"/>
            <w:r w:rsidRPr="001E7ABF">
              <w:rPr>
                <w:sz w:val="22"/>
                <w:szCs w:val="22"/>
              </w:rPr>
              <w:t>Biomasse</w:t>
            </w:r>
          </w:p>
        </w:tc>
        <w:tc>
          <w:tcPr>
            <w:tcW w:w="1554" w:type="dxa"/>
            <w:vAlign w:val="center"/>
          </w:tcPr>
          <w:p w:rsidR="002A5A9C" w:rsidRPr="001E7ABF" w:rsidRDefault="002A5A9C" w:rsidP="00E66F5F">
            <w:pPr>
              <w:pStyle w:val="Nessunaspaziatura"/>
              <w:jc w:val="left"/>
              <w:rPr>
                <w:sz w:val="22"/>
                <w:szCs w:val="22"/>
              </w:rPr>
            </w:pPr>
            <w:r w:rsidRPr="001E7ABF">
              <w:rPr>
                <w:sz w:val="22"/>
                <w:szCs w:val="22"/>
              </w:rPr>
              <w:t>Nuovi impianti</w:t>
            </w:r>
          </w:p>
        </w:tc>
        <w:tc>
          <w:tcPr>
            <w:tcW w:w="1560" w:type="dxa"/>
            <w:vAlign w:val="center"/>
          </w:tcPr>
          <w:p w:rsidR="002A5A9C" w:rsidRPr="001E7ABF" w:rsidRDefault="002A5A9C" w:rsidP="00C726E9">
            <w:pPr>
              <w:pStyle w:val="Nessunaspaziatura"/>
              <w:jc w:val="center"/>
              <w:rPr>
                <w:sz w:val="22"/>
                <w:szCs w:val="22"/>
              </w:rPr>
            </w:pPr>
            <w:r w:rsidRPr="001E7ABF">
              <w:rPr>
                <w:sz w:val="22"/>
                <w:szCs w:val="22"/>
              </w:rPr>
              <w:t>31</w:t>
            </w:r>
          </w:p>
        </w:tc>
      </w:tr>
      <w:bookmarkEnd w:id="9"/>
      <w:tr w:rsidR="00476DA3" w:rsidRPr="001E7ABF" w:rsidTr="006B1B1C">
        <w:trPr>
          <w:cantSplit/>
          <w:trHeight w:val="20"/>
          <w:jc w:val="center"/>
        </w:trPr>
        <w:tc>
          <w:tcPr>
            <w:tcW w:w="2977" w:type="dxa"/>
            <w:vAlign w:val="center"/>
          </w:tcPr>
          <w:p w:rsidR="00476DA3" w:rsidRPr="001E7ABF" w:rsidRDefault="00476DA3" w:rsidP="00E66F5F">
            <w:pPr>
              <w:pStyle w:val="Nessunaspaziatura"/>
              <w:jc w:val="left"/>
              <w:rPr>
                <w:sz w:val="22"/>
                <w:szCs w:val="22"/>
              </w:rPr>
            </w:pPr>
            <w:r w:rsidRPr="001E7ABF">
              <w:rPr>
                <w:sz w:val="22"/>
                <w:szCs w:val="22"/>
              </w:rPr>
              <w:t>Geotermico tradizionale con innovazioni</w:t>
            </w:r>
          </w:p>
        </w:tc>
        <w:tc>
          <w:tcPr>
            <w:tcW w:w="1554" w:type="dxa"/>
            <w:vAlign w:val="center"/>
          </w:tcPr>
          <w:p w:rsidR="00476DA3" w:rsidRPr="001E7ABF" w:rsidRDefault="00476DA3" w:rsidP="00E66F5F">
            <w:pPr>
              <w:pStyle w:val="Nessunaspaziatura"/>
              <w:jc w:val="left"/>
              <w:rPr>
                <w:sz w:val="22"/>
                <w:szCs w:val="22"/>
              </w:rPr>
            </w:pPr>
            <w:r w:rsidRPr="001E7ABF">
              <w:rPr>
                <w:sz w:val="22"/>
                <w:szCs w:val="22"/>
              </w:rPr>
              <w:t>Nuovi impianti</w:t>
            </w:r>
          </w:p>
        </w:tc>
        <w:tc>
          <w:tcPr>
            <w:tcW w:w="1560" w:type="dxa"/>
            <w:vAlign w:val="center"/>
          </w:tcPr>
          <w:p w:rsidR="00476DA3" w:rsidRPr="001E7ABF" w:rsidRDefault="00476DA3" w:rsidP="00E66F5F">
            <w:pPr>
              <w:pStyle w:val="Nessunaspaziatura"/>
              <w:jc w:val="center"/>
              <w:rPr>
                <w:sz w:val="22"/>
                <w:szCs w:val="22"/>
              </w:rPr>
            </w:pPr>
            <w:r w:rsidRPr="001E7ABF">
              <w:rPr>
                <w:sz w:val="22"/>
                <w:szCs w:val="22"/>
              </w:rPr>
              <w:t>51</w:t>
            </w:r>
          </w:p>
        </w:tc>
      </w:tr>
      <w:tr w:rsidR="00476DA3" w:rsidRPr="001E7ABF" w:rsidTr="006B1B1C">
        <w:trPr>
          <w:cantSplit/>
          <w:trHeight w:val="20"/>
          <w:jc w:val="center"/>
        </w:trPr>
        <w:tc>
          <w:tcPr>
            <w:tcW w:w="2977" w:type="dxa"/>
            <w:vAlign w:val="center"/>
          </w:tcPr>
          <w:p w:rsidR="00476DA3" w:rsidRPr="001E7ABF" w:rsidRDefault="00476DA3" w:rsidP="00E66F5F">
            <w:pPr>
              <w:pStyle w:val="Nessunaspaziatura"/>
              <w:jc w:val="left"/>
              <w:rPr>
                <w:sz w:val="22"/>
                <w:szCs w:val="22"/>
              </w:rPr>
            </w:pPr>
            <w:r w:rsidRPr="001E7ABF">
              <w:rPr>
                <w:sz w:val="22"/>
                <w:szCs w:val="22"/>
              </w:rPr>
              <w:t>Geotermico a emissioni nulle</w:t>
            </w:r>
          </w:p>
        </w:tc>
        <w:tc>
          <w:tcPr>
            <w:tcW w:w="1554" w:type="dxa"/>
            <w:vAlign w:val="center"/>
          </w:tcPr>
          <w:p w:rsidR="00476DA3" w:rsidRPr="001E7ABF" w:rsidRDefault="00476DA3" w:rsidP="00E66F5F">
            <w:pPr>
              <w:pStyle w:val="Nessunaspaziatura"/>
              <w:jc w:val="left"/>
              <w:rPr>
                <w:sz w:val="22"/>
                <w:szCs w:val="22"/>
              </w:rPr>
            </w:pPr>
            <w:r w:rsidRPr="001E7ABF">
              <w:rPr>
                <w:sz w:val="22"/>
                <w:szCs w:val="22"/>
              </w:rPr>
              <w:t>Nuovi impianti</w:t>
            </w:r>
          </w:p>
        </w:tc>
        <w:tc>
          <w:tcPr>
            <w:tcW w:w="1560" w:type="dxa"/>
            <w:vAlign w:val="center"/>
          </w:tcPr>
          <w:p w:rsidR="00476DA3" w:rsidRPr="001E7ABF" w:rsidRDefault="00476DA3" w:rsidP="00E66F5F">
            <w:pPr>
              <w:pStyle w:val="Nessunaspaziatura"/>
              <w:jc w:val="center"/>
              <w:rPr>
                <w:sz w:val="22"/>
                <w:szCs w:val="22"/>
              </w:rPr>
            </w:pPr>
            <w:r w:rsidRPr="001E7ABF">
              <w:rPr>
                <w:sz w:val="22"/>
                <w:szCs w:val="22"/>
              </w:rPr>
              <w:t>60</w:t>
            </w:r>
          </w:p>
        </w:tc>
      </w:tr>
      <w:tr w:rsidR="00476DA3" w:rsidRPr="001E7ABF" w:rsidTr="006B1B1C">
        <w:trPr>
          <w:cantSplit/>
          <w:trHeight w:val="20"/>
          <w:jc w:val="center"/>
        </w:trPr>
        <w:tc>
          <w:tcPr>
            <w:tcW w:w="2977" w:type="dxa"/>
            <w:vAlign w:val="center"/>
          </w:tcPr>
          <w:p w:rsidR="00476DA3" w:rsidRPr="001E7ABF" w:rsidRDefault="00476DA3" w:rsidP="00E66F5F">
            <w:pPr>
              <w:pStyle w:val="Nessunaspaziatura"/>
              <w:jc w:val="left"/>
              <w:rPr>
                <w:sz w:val="22"/>
                <w:szCs w:val="22"/>
              </w:rPr>
            </w:pPr>
            <w:r w:rsidRPr="001E7ABF">
              <w:rPr>
                <w:sz w:val="22"/>
                <w:szCs w:val="22"/>
              </w:rPr>
              <w:t>Eolico offshore</w:t>
            </w:r>
          </w:p>
        </w:tc>
        <w:tc>
          <w:tcPr>
            <w:tcW w:w="1554" w:type="dxa"/>
            <w:vAlign w:val="center"/>
          </w:tcPr>
          <w:p w:rsidR="00476DA3" w:rsidRPr="001E7ABF" w:rsidRDefault="00476DA3" w:rsidP="00E66F5F">
            <w:pPr>
              <w:pStyle w:val="Nessunaspaziatura"/>
              <w:jc w:val="left"/>
              <w:rPr>
                <w:sz w:val="22"/>
                <w:szCs w:val="22"/>
              </w:rPr>
            </w:pPr>
            <w:r w:rsidRPr="001E7ABF">
              <w:rPr>
                <w:sz w:val="22"/>
                <w:szCs w:val="22"/>
              </w:rPr>
              <w:t>Nuovi Impianti</w:t>
            </w:r>
          </w:p>
        </w:tc>
        <w:tc>
          <w:tcPr>
            <w:tcW w:w="1560" w:type="dxa"/>
            <w:vAlign w:val="center"/>
          </w:tcPr>
          <w:p w:rsidR="00476DA3" w:rsidRPr="001E7ABF" w:rsidRDefault="00476DA3" w:rsidP="00E66F5F">
            <w:pPr>
              <w:pStyle w:val="Nessunaspaziatura"/>
              <w:jc w:val="center"/>
              <w:rPr>
                <w:sz w:val="22"/>
                <w:szCs w:val="22"/>
              </w:rPr>
            </w:pPr>
            <w:r w:rsidRPr="001E7ABF">
              <w:rPr>
                <w:sz w:val="22"/>
                <w:szCs w:val="22"/>
              </w:rPr>
              <w:t>43</w:t>
            </w:r>
          </w:p>
        </w:tc>
      </w:tr>
      <w:tr w:rsidR="00476DA3" w:rsidRPr="001E7ABF" w:rsidTr="006B1B1C">
        <w:trPr>
          <w:cantSplit/>
          <w:trHeight w:val="20"/>
          <w:jc w:val="center"/>
        </w:trPr>
        <w:tc>
          <w:tcPr>
            <w:tcW w:w="2977" w:type="dxa"/>
            <w:vAlign w:val="center"/>
          </w:tcPr>
          <w:p w:rsidR="00476DA3" w:rsidRPr="001E7ABF" w:rsidRDefault="00476DA3" w:rsidP="00E66F5F">
            <w:pPr>
              <w:pStyle w:val="Nessunaspaziatura"/>
              <w:jc w:val="left"/>
              <w:rPr>
                <w:sz w:val="22"/>
                <w:szCs w:val="22"/>
              </w:rPr>
            </w:pPr>
            <w:r>
              <w:rPr>
                <w:sz w:val="22"/>
                <w:szCs w:val="22"/>
              </w:rPr>
              <w:t>Solare Termodinamico</w:t>
            </w:r>
          </w:p>
        </w:tc>
        <w:tc>
          <w:tcPr>
            <w:tcW w:w="1554" w:type="dxa"/>
            <w:vAlign w:val="center"/>
          </w:tcPr>
          <w:p w:rsidR="00476DA3" w:rsidRPr="001E7ABF" w:rsidRDefault="00476DA3" w:rsidP="00E66F5F">
            <w:pPr>
              <w:pStyle w:val="Nessunaspaziatura"/>
              <w:jc w:val="left"/>
              <w:rPr>
                <w:sz w:val="22"/>
                <w:szCs w:val="22"/>
              </w:rPr>
            </w:pPr>
            <w:r>
              <w:rPr>
                <w:sz w:val="22"/>
                <w:szCs w:val="22"/>
              </w:rPr>
              <w:t>Nuovi Impianti</w:t>
            </w:r>
          </w:p>
        </w:tc>
        <w:tc>
          <w:tcPr>
            <w:tcW w:w="1560" w:type="dxa"/>
            <w:vAlign w:val="center"/>
          </w:tcPr>
          <w:p w:rsidR="00476DA3" w:rsidRPr="001E7ABF" w:rsidRDefault="00476DA3" w:rsidP="00E66F5F">
            <w:pPr>
              <w:pStyle w:val="Nessunaspaziatura"/>
              <w:jc w:val="center"/>
              <w:rPr>
                <w:sz w:val="22"/>
                <w:szCs w:val="22"/>
              </w:rPr>
            </w:pPr>
            <w:r>
              <w:rPr>
                <w:sz w:val="22"/>
                <w:szCs w:val="22"/>
              </w:rPr>
              <w:t>55</w:t>
            </w:r>
          </w:p>
        </w:tc>
      </w:tr>
      <w:tr w:rsidR="00070C75" w:rsidRPr="001E7ABF" w:rsidTr="00C726E9">
        <w:trPr>
          <w:cantSplit/>
          <w:trHeight w:val="20"/>
          <w:jc w:val="center"/>
        </w:trPr>
        <w:tc>
          <w:tcPr>
            <w:tcW w:w="6091" w:type="dxa"/>
            <w:gridSpan w:val="3"/>
            <w:vAlign w:val="center"/>
          </w:tcPr>
          <w:p w:rsidR="00070C75" w:rsidRPr="001E7ABF" w:rsidRDefault="00070C75" w:rsidP="00E66F5F">
            <w:pPr>
              <w:jc w:val="left"/>
              <w:rPr>
                <w:sz w:val="22"/>
                <w:szCs w:val="22"/>
              </w:rPr>
            </w:pPr>
            <w:r w:rsidRPr="001E7ABF">
              <w:rPr>
                <w:sz w:val="20"/>
                <w:szCs w:val="22"/>
              </w:rPr>
              <w:t>Per impianti nella titolarità della PA i termini sono incrementati di 6 mesi</w:t>
            </w:r>
          </w:p>
        </w:tc>
      </w:tr>
    </w:tbl>
    <w:p w:rsidR="00D03E6E" w:rsidRPr="00C726E9" w:rsidRDefault="00F54E97" w:rsidP="00F3067C">
      <w:pPr>
        <w:spacing w:before="240"/>
        <w:jc w:val="center"/>
        <w:rPr>
          <w:i/>
          <w:iCs/>
          <w:szCs w:val="24"/>
        </w:rPr>
      </w:pPr>
      <w:r w:rsidRPr="00C726E9">
        <w:rPr>
          <w:i/>
          <w:iCs/>
          <w:szCs w:val="24"/>
        </w:rPr>
        <w:t>Tabella 2</w:t>
      </w:r>
    </w:p>
    <w:p w:rsidR="00975A35" w:rsidRDefault="006202D4" w:rsidP="00CF1E94">
      <w:pPr>
        <w:pStyle w:val="Nessunaspaziatura"/>
        <w:spacing w:before="240"/>
        <w:rPr>
          <w:szCs w:val="24"/>
        </w:rPr>
      </w:pPr>
      <w:r>
        <w:rPr>
          <w:szCs w:val="24"/>
        </w:rPr>
        <w:t>2</w:t>
      </w:r>
      <w:r w:rsidR="00F54E97">
        <w:rPr>
          <w:szCs w:val="24"/>
        </w:rPr>
        <w:t>. I</w:t>
      </w:r>
      <w:r w:rsidR="009979EB" w:rsidRPr="00D27CCC">
        <w:rPr>
          <w:szCs w:val="24"/>
        </w:rPr>
        <w:t>l mancato rispetto dei termini</w:t>
      </w:r>
      <w:r w:rsidR="00F54E97">
        <w:rPr>
          <w:szCs w:val="24"/>
        </w:rPr>
        <w:t xml:space="preserve"> di cui al comma 1</w:t>
      </w:r>
      <w:r w:rsidR="009979EB" w:rsidRPr="00D27CCC">
        <w:rPr>
          <w:szCs w:val="24"/>
        </w:rPr>
        <w:t xml:space="preserve"> comporta l'applicazione di una decurtazione della tariffa </w:t>
      </w:r>
      <w:r w:rsidR="009979EB">
        <w:rPr>
          <w:szCs w:val="24"/>
        </w:rPr>
        <w:t>spettante</w:t>
      </w:r>
      <w:r w:rsidR="009979EB" w:rsidRPr="00D27CCC">
        <w:rPr>
          <w:szCs w:val="24"/>
        </w:rPr>
        <w:t xml:space="preserve"> dello 0,5% per ogni mese di ritardo, nel limite massimo di 9 mesi</w:t>
      </w:r>
      <w:r w:rsidR="009979EB">
        <w:rPr>
          <w:szCs w:val="24"/>
        </w:rPr>
        <w:t>.</w:t>
      </w:r>
      <w:r w:rsidR="002A53DA">
        <w:rPr>
          <w:szCs w:val="24"/>
        </w:rPr>
        <w:t xml:space="preserve"> </w:t>
      </w:r>
    </w:p>
    <w:p w:rsidR="002E73D2" w:rsidRPr="00522DB7" w:rsidRDefault="00975A35" w:rsidP="00C726E9">
      <w:pPr>
        <w:pStyle w:val="Nessunaspaziatura"/>
        <w:spacing w:before="240"/>
        <w:rPr>
          <w:szCs w:val="24"/>
        </w:rPr>
      </w:pPr>
      <w:r>
        <w:rPr>
          <w:szCs w:val="24"/>
        </w:rPr>
        <w:t xml:space="preserve">3. </w:t>
      </w:r>
      <w:r w:rsidR="003A5CCC">
        <w:rPr>
          <w:szCs w:val="24"/>
        </w:rPr>
        <w:t>Nel caso in cui</w:t>
      </w:r>
      <w:r w:rsidR="00384244">
        <w:rPr>
          <w:szCs w:val="24"/>
        </w:rPr>
        <w:t xml:space="preserve"> non </w:t>
      </w:r>
      <w:r w:rsidR="00996ACD">
        <w:rPr>
          <w:szCs w:val="24"/>
        </w:rPr>
        <w:t>sia</w:t>
      </w:r>
      <w:r w:rsidR="00384244">
        <w:rPr>
          <w:szCs w:val="24"/>
        </w:rPr>
        <w:t xml:space="preserve"> rispettato </w:t>
      </w:r>
      <w:r>
        <w:rPr>
          <w:szCs w:val="24"/>
        </w:rPr>
        <w:t>l’ulteriore termin</w:t>
      </w:r>
      <w:r w:rsidR="00143205">
        <w:rPr>
          <w:szCs w:val="24"/>
        </w:rPr>
        <w:t>e</w:t>
      </w:r>
      <w:r>
        <w:rPr>
          <w:szCs w:val="24"/>
        </w:rPr>
        <w:t xml:space="preserve"> di cui al comma 2</w:t>
      </w:r>
      <w:r w:rsidR="00751121">
        <w:rPr>
          <w:szCs w:val="24"/>
        </w:rPr>
        <w:t>,</w:t>
      </w:r>
      <w:r w:rsidR="00384244">
        <w:rPr>
          <w:szCs w:val="24"/>
        </w:rPr>
        <w:t xml:space="preserve"> il GSE dichiara la decadenza dagli incentivi e</w:t>
      </w:r>
      <w:r w:rsidR="00751121">
        <w:rPr>
          <w:szCs w:val="24"/>
        </w:rPr>
        <w:t>,</w:t>
      </w:r>
      <w:r w:rsidR="00384244">
        <w:rPr>
          <w:szCs w:val="24"/>
        </w:rPr>
        <w:t xml:space="preserve"> </w:t>
      </w:r>
      <w:r w:rsidR="00CF1E94">
        <w:rPr>
          <w:szCs w:val="24"/>
        </w:rPr>
        <w:t xml:space="preserve">qualora l’impianto </w:t>
      </w:r>
      <w:r w:rsidR="002E73D2" w:rsidRPr="00522DB7">
        <w:rPr>
          <w:szCs w:val="24"/>
        </w:rPr>
        <w:t>venga successivamente riammess</w:t>
      </w:r>
      <w:r w:rsidR="00751121">
        <w:rPr>
          <w:szCs w:val="24"/>
        </w:rPr>
        <w:t>o</w:t>
      </w:r>
      <w:r w:rsidR="002E73D2" w:rsidRPr="00522DB7">
        <w:rPr>
          <w:szCs w:val="24"/>
        </w:rPr>
        <w:t xml:space="preserve"> a meccanismi di incentivazione</w:t>
      </w:r>
      <w:r w:rsidR="00B164DA">
        <w:rPr>
          <w:szCs w:val="24"/>
        </w:rPr>
        <w:t xml:space="preserve"> tariffaria</w:t>
      </w:r>
      <w:r w:rsidR="002E73D2" w:rsidRPr="00522DB7">
        <w:rPr>
          <w:szCs w:val="24"/>
        </w:rPr>
        <w:t>, applica</w:t>
      </w:r>
      <w:r w:rsidR="00221B2F">
        <w:rPr>
          <w:szCs w:val="24"/>
        </w:rPr>
        <w:t xml:space="preserve"> a tale impianto</w:t>
      </w:r>
      <w:r w:rsidR="002E73D2" w:rsidRPr="00522DB7">
        <w:rPr>
          <w:szCs w:val="24"/>
        </w:rPr>
        <w:t xml:space="preserve"> una riduzione del </w:t>
      </w:r>
      <w:r w:rsidR="00AF4DFA">
        <w:rPr>
          <w:szCs w:val="24"/>
        </w:rPr>
        <w:t>20</w:t>
      </w:r>
      <w:r w:rsidR="007B704B">
        <w:rPr>
          <w:szCs w:val="24"/>
        </w:rPr>
        <w:t xml:space="preserve"> </w:t>
      </w:r>
      <w:r w:rsidR="002E73D2" w:rsidRPr="00522DB7">
        <w:rPr>
          <w:szCs w:val="24"/>
        </w:rPr>
        <w:t>% della tariffa di riferimento</w:t>
      </w:r>
      <w:r w:rsidR="00C01A51">
        <w:rPr>
          <w:szCs w:val="24"/>
        </w:rPr>
        <w:t xml:space="preserve"> vigente</w:t>
      </w:r>
      <w:r w:rsidR="002E73D2" w:rsidRPr="00522DB7">
        <w:rPr>
          <w:szCs w:val="24"/>
        </w:rPr>
        <w:t xml:space="preserve">. </w:t>
      </w:r>
    </w:p>
    <w:p w:rsidR="00892629" w:rsidRPr="00522DB7" w:rsidRDefault="00975A35" w:rsidP="00F3067C">
      <w:pPr>
        <w:spacing w:before="240"/>
        <w:rPr>
          <w:szCs w:val="24"/>
        </w:rPr>
      </w:pPr>
      <w:r>
        <w:rPr>
          <w:szCs w:val="24"/>
        </w:rPr>
        <w:lastRenderedPageBreak/>
        <w:t>4</w:t>
      </w:r>
      <w:r w:rsidR="00892629" w:rsidRPr="00522DB7">
        <w:rPr>
          <w:szCs w:val="24"/>
        </w:rPr>
        <w:t xml:space="preserve">. </w:t>
      </w:r>
      <w:r w:rsidR="00892629">
        <w:rPr>
          <w:szCs w:val="24"/>
        </w:rPr>
        <w:t xml:space="preserve">Le disposizioni di cui al comma </w:t>
      </w:r>
      <w:r w:rsidR="00143205">
        <w:rPr>
          <w:szCs w:val="24"/>
        </w:rPr>
        <w:t>3</w:t>
      </w:r>
      <w:r w:rsidR="00892629">
        <w:rPr>
          <w:szCs w:val="24"/>
        </w:rPr>
        <w:t xml:space="preserve"> non si applicano qualora</w:t>
      </w:r>
      <w:r w:rsidR="00892629" w:rsidRPr="00522DB7">
        <w:rPr>
          <w:szCs w:val="24"/>
        </w:rPr>
        <w:t xml:space="preserve">, entro </w:t>
      </w:r>
      <w:r w:rsidR="00892629">
        <w:rPr>
          <w:szCs w:val="24"/>
        </w:rPr>
        <w:t>dodici</w:t>
      </w:r>
      <w:r w:rsidR="00892629" w:rsidRPr="00522DB7">
        <w:rPr>
          <w:szCs w:val="24"/>
        </w:rPr>
        <w:t xml:space="preserve"> mesi dalla data di pubblicazione della graduatoria, </w:t>
      </w:r>
      <w:r w:rsidR="002805A3">
        <w:rPr>
          <w:szCs w:val="24"/>
        </w:rPr>
        <w:t>il soggetto richiedent</w:t>
      </w:r>
      <w:r w:rsidR="003358FB">
        <w:rPr>
          <w:szCs w:val="24"/>
        </w:rPr>
        <w:t>e</w:t>
      </w:r>
      <w:r w:rsidR="002805A3">
        <w:rPr>
          <w:szCs w:val="24"/>
        </w:rPr>
        <w:t xml:space="preserve"> </w:t>
      </w:r>
      <w:r w:rsidR="00892629" w:rsidRPr="00522DB7">
        <w:rPr>
          <w:szCs w:val="24"/>
        </w:rPr>
        <w:t>comunic</w:t>
      </w:r>
      <w:r w:rsidR="002805A3">
        <w:rPr>
          <w:szCs w:val="24"/>
        </w:rPr>
        <w:t>hi</w:t>
      </w:r>
      <w:r w:rsidR="00892629" w:rsidRPr="00522DB7">
        <w:rPr>
          <w:szCs w:val="24"/>
        </w:rPr>
        <w:t xml:space="preserve"> al GSE la rinuncia alla realizzazione dell’intervento. </w:t>
      </w:r>
    </w:p>
    <w:p w:rsidR="00604AEB" w:rsidRPr="00C726E9" w:rsidRDefault="00604AEB" w:rsidP="00F3067C">
      <w:pPr>
        <w:pStyle w:val="Sottotitolo"/>
        <w:spacing w:before="360" w:after="360"/>
        <w:jc w:val="center"/>
        <w:outlineLvl w:val="1"/>
        <w:rPr>
          <w:b w:val="0"/>
          <w:bCs/>
          <w:i/>
          <w:iCs/>
        </w:rPr>
      </w:pPr>
      <w:bookmarkStart w:id="10" w:name="_Toc8978896"/>
      <w:r w:rsidRPr="001E7ABF">
        <w:t xml:space="preserve">Art. </w:t>
      </w:r>
      <w:r w:rsidR="00F71306">
        <w:t>8</w:t>
      </w:r>
      <w:bookmarkEnd w:id="10"/>
      <w:r w:rsidR="00171413" w:rsidRPr="003A1739">
        <w:br/>
      </w:r>
      <w:bookmarkStart w:id="11" w:name="_Toc8978897"/>
      <w:r w:rsidRPr="00C726E9">
        <w:rPr>
          <w:b w:val="0"/>
          <w:bCs/>
          <w:i/>
          <w:iCs/>
        </w:rPr>
        <w:t>(</w:t>
      </w:r>
      <w:r w:rsidR="00A8501B">
        <w:rPr>
          <w:b w:val="0"/>
          <w:bCs/>
          <w:i/>
          <w:iCs/>
        </w:rPr>
        <w:t>Comunicazione d</w:t>
      </w:r>
      <w:r w:rsidR="00E00F46">
        <w:rPr>
          <w:b w:val="0"/>
          <w:bCs/>
          <w:i/>
          <w:iCs/>
        </w:rPr>
        <w:t xml:space="preserve">i </w:t>
      </w:r>
      <w:r w:rsidR="00A8501B" w:rsidRPr="00F3067C">
        <w:rPr>
          <w:b w:val="0"/>
          <w:bCs/>
          <w:i/>
        </w:rPr>
        <w:t>entrata</w:t>
      </w:r>
      <w:r w:rsidR="00A8501B">
        <w:rPr>
          <w:b w:val="0"/>
          <w:bCs/>
          <w:i/>
          <w:iCs/>
        </w:rPr>
        <w:t xml:space="preserve"> in esercizio</w:t>
      </w:r>
      <w:r w:rsidR="00E00F46">
        <w:rPr>
          <w:b w:val="0"/>
          <w:bCs/>
          <w:i/>
          <w:iCs/>
        </w:rPr>
        <w:t xml:space="preserve"> degli impianti</w:t>
      </w:r>
      <w:r w:rsidRPr="00C726E9">
        <w:rPr>
          <w:b w:val="0"/>
          <w:bCs/>
          <w:i/>
          <w:iCs/>
        </w:rPr>
        <w:t>)</w:t>
      </w:r>
      <w:bookmarkEnd w:id="11"/>
    </w:p>
    <w:p w:rsidR="00FA5DCD" w:rsidRPr="00A66A43" w:rsidRDefault="00FA5DCD" w:rsidP="00FA5DCD">
      <w:pPr>
        <w:rPr>
          <w:szCs w:val="24"/>
        </w:rPr>
      </w:pPr>
      <w:r>
        <w:rPr>
          <w:szCs w:val="24"/>
        </w:rPr>
        <w:t xml:space="preserve">1. I soggetti titolari </w:t>
      </w:r>
      <w:r w:rsidRPr="00A66A43">
        <w:rPr>
          <w:szCs w:val="24"/>
        </w:rPr>
        <w:t>comunicano al GSE la data di entrata in esercizio</w:t>
      </w:r>
      <w:r>
        <w:rPr>
          <w:szCs w:val="24"/>
        </w:rPr>
        <w:t xml:space="preserve"> degli impianti</w:t>
      </w:r>
      <w:r w:rsidRPr="00A66A43">
        <w:rPr>
          <w:szCs w:val="24"/>
        </w:rPr>
        <w:t xml:space="preserve"> entro i </w:t>
      </w:r>
      <w:r w:rsidR="0069273E">
        <w:rPr>
          <w:szCs w:val="24"/>
        </w:rPr>
        <w:t>6</w:t>
      </w:r>
      <w:r w:rsidR="0069273E" w:rsidRPr="00A66A43">
        <w:rPr>
          <w:szCs w:val="24"/>
        </w:rPr>
        <w:t xml:space="preserve">0 </w:t>
      </w:r>
      <w:r w:rsidRPr="00A66A43">
        <w:rPr>
          <w:szCs w:val="24"/>
        </w:rPr>
        <w:t>giorni successivi all’avvio dell’esercizio stesso. La mancata comunicazione entro tale termine comporta la perdita</w:t>
      </w:r>
      <w:r>
        <w:rPr>
          <w:szCs w:val="24"/>
        </w:rPr>
        <w:t xml:space="preserve"> del diritto a</w:t>
      </w:r>
      <w:r w:rsidRPr="00A66A43">
        <w:rPr>
          <w:szCs w:val="24"/>
        </w:rPr>
        <w:t xml:space="preserve">l riconoscimento della tariffa </w:t>
      </w:r>
      <w:r w:rsidR="00836146">
        <w:rPr>
          <w:szCs w:val="24"/>
        </w:rPr>
        <w:t>spettante</w:t>
      </w:r>
      <w:r>
        <w:rPr>
          <w:szCs w:val="24"/>
        </w:rPr>
        <w:t xml:space="preserve"> per i</w:t>
      </w:r>
      <w:r w:rsidRPr="00A66A43">
        <w:rPr>
          <w:szCs w:val="24"/>
        </w:rPr>
        <w:t>l periodo intercorrente tra la data di entrata in esercizio dell’impianto e il primo giorno del mese successivo alla data d</w:t>
      </w:r>
      <w:r w:rsidR="00D33A23">
        <w:rPr>
          <w:szCs w:val="24"/>
        </w:rPr>
        <w:t>ella</w:t>
      </w:r>
      <w:r w:rsidRPr="00A66A43">
        <w:rPr>
          <w:szCs w:val="24"/>
        </w:rPr>
        <w:t xml:space="preserve"> </w:t>
      </w:r>
      <w:r w:rsidRPr="0061097A">
        <w:rPr>
          <w:szCs w:val="24"/>
        </w:rPr>
        <w:t>comunicazione</w:t>
      </w:r>
      <w:r w:rsidR="00D33A23">
        <w:rPr>
          <w:szCs w:val="24"/>
        </w:rPr>
        <w:t xml:space="preserve"> tardiva</w:t>
      </w:r>
      <w:r w:rsidRPr="0061097A">
        <w:rPr>
          <w:szCs w:val="24"/>
        </w:rPr>
        <w:t>.</w:t>
      </w:r>
    </w:p>
    <w:p w:rsidR="003961D2" w:rsidRDefault="003961D2" w:rsidP="00F3067C">
      <w:pPr>
        <w:spacing w:before="240"/>
        <w:rPr>
          <w:szCs w:val="24"/>
        </w:rPr>
      </w:pPr>
      <w:r>
        <w:rPr>
          <w:szCs w:val="24"/>
        </w:rPr>
        <w:t xml:space="preserve">2. Successivamente all’entrata in esercizio, il soggetto titolare </w:t>
      </w:r>
      <w:r w:rsidR="006E2FCA">
        <w:rPr>
          <w:szCs w:val="24"/>
        </w:rPr>
        <w:t>ha facoltà di</w:t>
      </w:r>
      <w:r>
        <w:rPr>
          <w:szCs w:val="24"/>
        </w:rPr>
        <w:t xml:space="preserve"> svolgere una fase di avviamento e collaudo</w:t>
      </w:r>
      <w:r w:rsidR="00FE29B1">
        <w:rPr>
          <w:szCs w:val="24"/>
        </w:rPr>
        <w:t>,</w:t>
      </w:r>
      <w:r>
        <w:rPr>
          <w:szCs w:val="24"/>
        </w:rPr>
        <w:t xml:space="preserve"> </w:t>
      </w:r>
      <w:r w:rsidR="006E2FCA">
        <w:rPr>
          <w:szCs w:val="24"/>
        </w:rPr>
        <w:t xml:space="preserve">secondo tempi </w:t>
      </w:r>
      <w:r w:rsidR="00E66879">
        <w:rPr>
          <w:szCs w:val="24"/>
        </w:rPr>
        <w:t xml:space="preserve">massimi </w:t>
      </w:r>
      <w:r w:rsidR="006E2FCA">
        <w:rPr>
          <w:szCs w:val="24"/>
        </w:rPr>
        <w:t>e</w:t>
      </w:r>
      <w:r>
        <w:rPr>
          <w:szCs w:val="24"/>
        </w:rPr>
        <w:t xml:space="preserve"> modalità </w:t>
      </w:r>
      <w:r w:rsidR="006E2FCA">
        <w:rPr>
          <w:szCs w:val="24"/>
        </w:rPr>
        <w:t>dettagliati nelle regole operative</w:t>
      </w:r>
      <w:r w:rsidR="00553BD3">
        <w:rPr>
          <w:szCs w:val="24"/>
        </w:rPr>
        <w:t>, al termine della quale comunica al GSE la data di entrata in esercizio commerciale</w:t>
      </w:r>
      <w:r w:rsidR="0035768B">
        <w:rPr>
          <w:szCs w:val="24"/>
        </w:rPr>
        <w:t>.</w:t>
      </w:r>
    </w:p>
    <w:p w:rsidR="00833A98" w:rsidRDefault="00AF7303" w:rsidP="00F3067C">
      <w:pPr>
        <w:spacing w:before="240"/>
        <w:rPr>
          <w:szCs w:val="24"/>
        </w:rPr>
      </w:pPr>
      <w:r>
        <w:rPr>
          <w:szCs w:val="24"/>
        </w:rPr>
        <w:t>3</w:t>
      </w:r>
      <w:r w:rsidR="00FA5DCD">
        <w:rPr>
          <w:szCs w:val="24"/>
        </w:rPr>
        <w:t>. Il GSE</w:t>
      </w:r>
      <w:r w:rsidR="00DA3B77">
        <w:rPr>
          <w:szCs w:val="24"/>
        </w:rPr>
        <w:t>,</w:t>
      </w:r>
      <w:r w:rsidR="00FA5DCD">
        <w:rPr>
          <w:szCs w:val="24"/>
        </w:rPr>
        <w:t xml:space="preserve"> </w:t>
      </w:r>
      <w:r w:rsidR="00C104DD">
        <w:rPr>
          <w:szCs w:val="24"/>
        </w:rPr>
        <w:t xml:space="preserve">entro </w:t>
      </w:r>
      <w:r w:rsidR="00DA3B77">
        <w:rPr>
          <w:szCs w:val="24"/>
        </w:rPr>
        <w:t>3</w:t>
      </w:r>
      <w:r w:rsidR="00C104DD">
        <w:rPr>
          <w:szCs w:val="24"/>
        </w:rPr>
        <w:t xml:space="preserve">0 giorni dalla comunicazione di cui al comma </w:t>
      </w:r>
      <w:r w:rsidR="00417401">
        <w:rPr>
          <w:szCs w:val="24"/>
        </w:rPr>
        <w:t>2</w:t>
      </w:r>
      <w:r w:rsidR="00C104DD">
        <w:rPr>
          <w:szCs w:val="24"/>
        </w:rPr>
        <w:t>,</w:t>
      </w:r>
      <w:r w:rsidR="00E660D4">
        <w:rPr>
          <w:szCs w:val="24"/>
        </w:rPr>
        <w:t xml:space="preserve"> </w:t>
      </w:r>
      <w:r w:rsidR="00417401">
        <w:rPr>
          <w:szCs w:val="24"/>
        </w:rPr>
        <w:t>provvede ad erogare gli incentivi</w:t>
      </w:r>
      <w:r w:rsidR="00C04AB0">
        <w:rPr>
          <w:szCs w:val="24"/>
        </w:rPr>
        <w:t xml:space="preserve"> con le modalità di cui all’articolo 9</w:t>
      </w:r>
      <w:r w:rsidR="0008608A">
        <w:rPr>
          <w:szCs w:val="24"/>
        </w:rPr>
        <w:t>.</w:t>
      </w:r>
      <w:r w:rsidR="00AD1816">
        <w:rPr>
          <w:szCs w:val="24"/>
        </w:rPr>
        <w:t xml:space="preserve"> </w:t>
      </w:r>
    </w:p>
    <w:p w:rsidR="000E228F" w:rsidRPr="00C726E9" w:rsidRDefault="000E228F" w:rsidP="00F3067C">
      <w:pPr>
        <w:pStyle w:val="Sottotitolo"/>
        <w:spacing w:before="360" w:after="360"/>
        <w:jc w:val="center"/>
        <w:outlineLvl w:val="1"/>
        <w:rPr>
          <w:b w:val="0"/>
          <w:bCs/>
          <w:i/>
          <w:iCs/>
        </w:rPr>
      </w:pPr>
      <w:r w:rsidRPr="001E7ABF">
        <w:t xml:space="preserve">Art. </w:t>
      </w:r>
      <w:r>
        <w:t>9</w:t>
      </w:r>
      <w:r w:rsidRPr="003A1739">
        <w:br/>
      </w:r>
      <w:r w:rsidRPr="00C726E9">
        <w:rPr>
          <w:b w:val="0"/>
          <w:bCs/>
          <w:i/>
          <w:iCs/>
        </w:rPr>
        <w:t>(</w:t>
      </w:r>
      <w:r w:rsidR="00CE28A1">
        <w:rPr>
          <w:b w:val="0"/>
          <w:bCs/>
          <w:i/>
          <w:iCs/>
        </w:rPr>
        <w:t xml:space="preserve">Modalità di </w:t>
      </w:r>
      <w:r w:rsidR="00CE28A1" w:rsidRPr="00F3067C">
        <w:rPr>
          <w:b w:val="0"/>
          <w:bCs/>
          <w:i/>
        </w:rPr>
        <w:t>e</w:t>
      </w:r>
      <w:r w:rsidRPr="00F3067C">
        <w:rPr>
          <w:b w:val="0"/>
          <w:bCs/>
          <w:i/>
        </w:rPr>
        <w:t>rogazione</w:t>
      </w:r>
      <w:r>
        <w:rPr>
          <w:b w:val="0"/>
          <w:bCs/>
          <w:i/>
          <w:iCs/>
        </w:rPr>
        <w:t xml:space="preserve"> delle tariffe incentivanti</w:t>
      </w:r>
      <w:r w:rsidRPr="00C726E9">
        <w:rPr>
          <w:b w:val="0"/>
          <w:bCs/>
          <w:i/>
          <w:iCs/>
        </w:rPr>
        <w:t>)</w:t>
      </w:r>
    </w:p>
    <w:p w:rsidR="00604AEB" w:rsidRPr="001E7ABF" w:rsidRDefault="000E228F" w:rsidP="00C726E9">
      <w:r>
        <w:rPr>
          <w:szCs w:val="24"/>
        </w:rPr>
        <w:t>1</w:t>
      </w:r>
      <w:r w:rsidR="00833A98">
        <w:rPr>
          <w:szCs w:val="24"/>
        </w:rPr>
        <w:t xml:space="preserve">. </w:t>
      </w:r>
      <w:r w:rsidR="00A162BB">
        <w:rPr>
          <w:szCs w:val="24"/>
        </w:rPr>
        <w:t>I</w:t>
      </w:r>
      <w:r w:rsidR="00EA2834">
        <w:rPr>
          <w:szCs w:val="24"/>
        </w:rPr>
        <w:t>l GSE</w:t>
      </w:r>
      <w:r w:rsidR="0053041D">
        <w:rPr>
          <w:szCs w:val="24"/>
        </w:rPr>
        <w:t>,</w:t>
      </w:r>
      <w:r w:rsidR="00AA74A4">
        <w:rPr>
          <w:szCs w:val="24"/>
        </w:rPr>
        <w:t xml:space="preserve"> </w:t>
      </w:r>
      <w:r w:rsidR="00C058C6">
        <w:rPr>
          <w:szCs w:val="24"/>
        </w:rPr>
        <w:t xml:space="preserve">a decorrere dalla </w:t>
      </w:r>
      <w:r w:rsidR="00DB1E41">
        <w:rPr>
          <w:szCs w:val="24"/>
        </w:rPr>
        <w:t>data di</w:t>
      </w:r>
      <w:r w:rsidR="002067A7">
        <w:rPr>
          <w:szCs w:val="24"/>
        </w:rPr>
        <w:t xml:space="preserve"> entrata in esercizio commerciale</w:t>
      </w:r>
      <w:r w:rsidR="00DB1E41">
        <w:rPr>
          <w:szCs w:val="24"/>
        </w:rPr>
        <w:t xml:space="preserve">, </w:t>
      </w:r>
      <w:r w:rsidR="002067A7">
        <w:rPr>
          <w:szCs w:val="24"/>
        </w:rPr>
        <w:t xml:space="preserve">eroga </w:t>
      </w:r>
      <w:r w:rsidR="00EA2834">
        <w:rPr>
          <w:szCs w:val="24"/>
        </w:rPr>
        <w:t xml:space="preserve">gli incentivi secondo le </w:t>
      </w:r>
      <w:r w:rsidR="00E96E76">
        <w:rPr>
          <w:szCs w:val="24"/>
        </w:rPr>
        <w:t xml:space="preserve">seguenti </w:t>
      </w:r>
      <w:r w:rsidR="00EA2834">
        <w:rPr>
          <w:szCs w:val="24"/>
        </w:rPr>
        <w:t>modalità</w:t>
      </w:r>
      <w:r w:rsidR="00E96E76">
        <w:rPr>
          <w:szCs w:val="24"/>
        </w:rPr>
        <w:t xml:space="preserve">: </w:t>
      </w:r>
    </w:p>
    <w:p w:rsidR="002067A7" w:rsidRDefault="00E96E76" w:rsidP="00FF03FF">
      <w:pPr>
        <w:pStyle w:val="Nessunaspaziatura"/>
        <w:numPr>
          <w:ilvl w:val="1"/>
          <w:numId w:val="40"/>
        </w:numPr>
        <w:spacing w:before="240"/>
        <w:ind w:left="426"/>
        <w:rPr>
          <w:szCs w:val="24"/>
        </w:rPr>
      </w:pPr>
      <w:r>
        <w:rPr>
          <w:szCs w:val="24"/>
        </w:rPr>
        <w:t>p</w:t>
      </w:r>
      <w:r w:rsidR="00604AEB" w:rsidRPr="001E7ABF">
        <w:rPr>
          <w:szCs w:val="24"/>
        </w:rPr>
        <w:t>er gli impianti di potenza non superiore a 250 kW</w:t>
      </w:r>
      <w:r w:rsidR="009457E1">
        <w:rPr>
          <w:szCs w:val="24"/>
        </w:rPr>
        <w:t>,</w:t>
      </w:r>
      <w:r w:rsidR="00604AEB" w:rsidRPr="001E7ABF">
        <w:rPr>
          <w:szCs w:val="24"/>
        </w:rPr>
        <w:t xml:space="preserve"> il GSE provvede</w:t>
      </w:r>
      <w:r w:rsidR="007C08C6">
        <w:rPr>
          <w:szCs w:val="24"/>
        </w:rPr>
        <w:t xml:space="preserve"> direttamente </w:t>
      </w:r>
      <w:r w:rsidR="00604AEB" w:rsidRPr="001E7ABF">
        <w:rPr>
          <w:szCs w:val="24"/>
        </w:rPr>
        <w:t xml:space="preserve">al ritiro </w:t>
      </w:r>
      <w:r w:rsidR="007C08C6">
        <w:rPr>
          <w:szCs w:val="24"/>
        </w:rPr>
        <w:t xml:space="preserve">e alla vendita </w:t>
      </w:r>
      <w:r w:rsidR="00604AEB" w:rsidRPr="001E7ABF">
        <w:rPr>
          <w:szCs w:val="24"/>
        </w:rPr>
        <w:t>dell’energia elettrica, erogando, sulla produzione netta immessa in rete, la tar</w:t>
      </w:r>
      <w:r w:rsidR="00F67610" w:rsidRPr="001E7ABF">
        <w:rPr>
          <w:szCs w:val="24"/>
        </w:rPr>
        <w:t xml:space="preserve">iffa spettante </w:t>
      </w:r>
      <w:r w:rsidR="006C13D2">
        <w:rPr>
          <w:szCs w:val="24"/>
        </w:rPr>
        <w:t xml:space="preserve">in forma di tariffa </w:t>
      </w:r>
      <w:r w:rsidR="00F67610" w:rsidRPr="001E7ABF">
        <w:rPr>
          <w:szCs w:val="24"/>
        </w:rPr>
        <w:t>omnicomprensiva</w:t>
      </w:r>
      <w:r w:rsidR="004C1EDA">
        <w:rPr>
          <w:szCs w:val="24"/>
        </w:rPr>
        <w:t>. I soggetti titolari possono richiedere, in alternativa, l’applicazione del regime di cui alla lettera b)</w:t>
      </w:r>
      <w:r>
        <w:rPr>
          <w:szCs w:val="24"/>
        </w:rPr>
        <w:t>;</w:t>
      </w:r>
    </w:p>
    <w:p w:rsidR="001149FF" w:rsidRDefault="00E96E76" w:rsidP="00FC5D36">
      <w:pPr>
        <w:pStyle w:val="Nessunaspaziatura"/>
        <w:numPr>
          <w:ilvl w:val="1"/>
          <w:numId w:val="40"/>
        </w:numPr>
        <w:ind w:left="426"/>
        <w:rPr>
          <w:szCs w:val="24"/>
        </w:rPr>
      </w:pPr>
      <w:r>
        <w:rPr>
          <w:szCs w:val="24"/>
        </w:rPr>
        <w:t>p</w:t>
      </w:r>
      <w:r w:rsidR="00604AEB" w:rsidRPr="001E7ABF">
        <w:rPr>
          <w:szCs w:val="24"/>
        </w:rPr>
        <w:t>er gli impianti</w:t>
      </w:r>
      <w:r w:rsidR="00D77146">
        <w:rPr>
          <w:szCs w:val="24"/>
        </w:rPr>
        <w:t xml:space="preserve"> di potenza superiore a 250 kW</w:t>
      </w:r>
      <w:r w:rsidR="00604AEB" w:rsidRPr="001E7ABF">
        <w:rPr>
          <w:szCs w:val="24"/>
        </w:rPr>
        <w:t xml:space="preserve">, </w:t>
      </w:r>
      <w:r w:rsidR="00E02E9E" w:rsidRPr="001E7ABF">
        <w:rPr>
          <w:szCs w:val="24"/>
        </w:rPr>
        <w:t xml:space="preserve">l’energia </w:t>
      </w:r>
      <w:r w:rsidR="00E02E9E">
        <w:rPr>
          <w:szCs w:val="24"/>
        </w:rPr>
        <w:t xml:space="preserve">elettrica </w:t>
      </w:r>
      <w:r w:rsidR="00E02E9E" w:rsidRPr="001E7ABF">
        <w:rPr>
          <w:szCs w:val="24"/>
        </w:rPr>
        <w:t>prodotta resta nella disponibilità del produttore</w:t>
      </w:r>
      <w:r w:rsidR="00E332C1">
        <w:rPr>
          <w:szCs w:val="24"/>
        </w:rPr>
        <w:t>,</w:t>
      </w:r>
      <w:r w:rsidR="00E02E9E">
        <w:rPr>
          <w:szCs w:val="24"/>
        </w:rPr>
        <w:t xml:space="preserve"> che provvede autonomamente alla valorizzazione sul mercato. I</w:t>
      </w:r>
      <w:r w:rsidR="00604AEB" w:rsidRPr="001E7ABF">
        <w:rPr>
          <w:szCs w:val="24"/>
        </w:rPr>
        <w:t xml:space="preserve">l GSE </w:t>
      </w:r>
      <w:r w:rsidR="00772484">
        <w:rPr>
          <w:szCs w:val="24"/>
        </w:rPr>
        <w:t>calcola la</w:t>
      </w:r>
      <w:r w:rsidR="00A15A3E" w:rsidRPr="001E7ABF">
        <w:rPr>
          <w:szCs w:val="24"/>
        </w:rPr>
        <w:t xml:space="preserve"> differenza tra la tariffa spettante e il</w:t>
      </w:r>
      <w:r w:rsidR="0060544A" w:rsidRPr="001E7ABF">
        <w:rPr>
          <w:szCs w:val="24"/>
        </w:rPr>
        <w:t xml:space="preserve"> </w:t>
      </w:r>
      <w:r w:rsidR="00604AEB" w:rsidRPr="001E7ABF">
        <w:rPr>
          <w:szCs w:val="24"/>
        </w:rPr>
        <w:t>prezzo di mercato dell’energia elettrica</w:t>
      </w:r>
      <w:r w:rsidR="00A15A3E" w:rsidRPr="001E7ABF">
        <w:rPr>
          <w:szCs w:val="24"/>
        </w:rPr>
        <w:t xml:space="preserve"> e</w:t>
      </w:r>
      <w:r w:rsidR="001149FF">
        <w:rPr>
          <w:szCs w:val="24"/>
        </w:rPr>
        <w:t>:</w:t>
      </w:r>
    </w:p>
    <w:p w:rsidR="001149FF" w:rsidRDefault="00A15A3E" w:rsidP="002556D7">
      <w:pPr>
        <w:pStyle w:val="Nessunaspaziatura"/>
        <w:numPr>
          <w:ilvl w:val="0"/>
          <w:numId w:val="52"/>
        </w:numPr>
        <w:ind w:left="709" w:hanging="283"/>
        <w:rPr>
          <w:szCs w:val="24"/>
        </w:rPr>
      </w:pPr>
      <w:r w:rsidRPr="001E7ABF">
        <w:rPr>
          <w:szCs w:val="24"/>
        </w:rPr>
        <w:t xml:space="preserve">ove </w:t>
      </w:r>
      <w:r w:rsidR="00772484">
        <w:rPr>
          <w:szCs w:val="24"/>
        </w:rPr>
        <w:t>tale</w:t>
      </w:r>
      <w:r w:rsidR="001149FF" w:rsidRPr="001E7ABF">
        <w:rPr>
          <w:szCs w:val="24"/>
        </w:rPr>
        <w:t xml:space="preserve"> </w:t>
      </w:r>
      <w:r w:rsidRPr="001E7ABF">
        <w:rPr>
          <w:szCs w:val="24"/>
        </w:rPr>
        <w:t>differenza</w:t>
      </w:r>
      <w:r w:rsidR="00604AEB" w:rsidRPr="001E7ABF">
        <w:rPr>
          <w:szCs w:val="24"/>
        </w:rPr>
        <w:t xml:space="preserve"> sia positiv</w:t>
      </w:r>
      <w:r w:rsidRPr="001E7ABF">
        <w:rPr>
          <w:szCs w:val="24"/>
        </w:rPr>
        <w:t>a</w:t>
      </w:r>
      <w:r w:rsidR="00604AEB" w:rsidRPr="001E7ABF">
        <w:rPr>
          <w:szCs w:val="24"/>
        </w:rPr>
        <w:t xml:space="preserve">, eroga gli </w:t>
      </w:r>
      <w:r w:rsidR="00BA15CE">
        <w:rPr>
          <w:szCs w:val="24"/>
        </w:rPr>
        <w:t>incentivi</w:t>
      </w:r>
      <w:r w:rsidR="00B9544F">
        <w:rPr>
          <w:szCs w:val="24"/>
        </w:rPr>
        <w:t xml:space="preserve"> applicando una tariffa premio</w:t>
      </w:r>
      <w:r w:rsidR="00604AEB" w:rsidRPr="001E7ABF">
        <w:rPr>
          <w:szCs w:val="24"/>
        </w:rPr>
        <w:t xml:space="preserve"> alla produzione netta immessa in rete</w:t>
      </w:r>
      <w:r w:rsidR="004B5ACA">
        <w:rPr>
          <w:szCs w:val="24"/>
        </w:rPr>
        <w:t>;</w:t>
      </w:r>
      <w:r w:rsidR="00604AEB" w:rsidRPr="001E7ABF">
        <w:rPr>
          <w:szCs w:val="24"/>
        </w:rPr>
        <w:t xml:space="preserve"> </w:t>
      </w:r>
    </w:p>
    <w:p w:rsidR="00604AEB" w:rsidRPr="001E7ABF" w:rsidRDefault="00A5316E" w:rsidP="002556D7">
      <w:pPr>
        <w:pStyle w:val="Nessunaspaziatura"/>
        <w:ind w:left="709" w:hanging="283"/>
        <w:rPr>
          <w:szCs w:val="24"/>
        </w:rPr>
      </w:pPr>
      <w:r>
        <w:rPr>
          <w:szCs w:val="24"/>
        </w:rPr>
        <w:t xml:space="preserve">2)   </w:t>
      </w:r>
      <w:r w:rsidR="00CD5017">
        <w:rPr>
          <w:szCs w:val="24"/>
        </w:rPr>
        <w:t>n</w:t>
      </w:r>
      <w:r w:rsidR="00604AEB" w:rsidRPr="001E7ABF">
        <w:rPr>
          <w:szCs w:val="24"/>
        </w:rPr>
        <w:t xml:space="preserve">el caso in cui </w:t>
      </w:r>
      <w:r w:rsidR="00A15A3E" w:rsidRPr="001E7ABF">
        <w:rPr>
          <w:szCs w:val="24"/>
        </w:rPr>
        <w:t>la</w:t>
      </w:r>
      <w:r w:rsidR="00604AEB" w:rsidRPr="001E7ABF">
        <w:rPr>
          <w:szCs w:val="24"/>
        </w:rPr>
        <w:t xml:space="preserve"> predett</w:t>
      </w:r>
      <w:r w:rsidR="00A15A3E" w:rsidRPr="001E7ABF">
        <w:rPr>
          <w:szCs w:val="24"/>
        </w:rPr>
        <w:t>a</w:t>
      </w:r>
      <w:r w:rsidR="00604AEB" w:rsidRPr="001E7ABF">
        <w:rPr>
          <w:szCs w:val="24"/>
        </w:rPr>
        <w:t xml:space="preserve"> </w:t>
      </w:r>
      <w:r w:rsidR="00A15A3E" w:rsidRPr="001E7ABF">
        <w:rPr>
          <w:szCs w:val="24"/>
        </w:rPr>
        <w:t>differenza</w:t>
      </w:r>
      <w:r w:rsidR="00604AEB" w:rsidRPr="001E7ABF">
        <w:rPr>
          <w:szCs w:val="24"/>
        </w:rPr>
        <w:t xml:space="preserve"> risulti negativ</w:t>
      </w:r>
      <w:r w:rsidR="00A15A3E" w:rsidRPr="001E7ABF">
        <w:rPr>
          <w:szCs w:val="24"/>
        </w:rPr>
        <w:t>a</w:t>
      </w:r>
      <w:r w:rsidR="00604AEB" w:rsidRPr="001E7ABF">
        <w:rPr>
          <w:szCs w:val="24"/>
        </w:rPr>
        <w:t xml:space="preserve">, conguaglia o provvede a richiedere al soggetto </w:t>
      </w:r>
      <w:r w:rsidR="003A1430">
        <w:rPr>
          <w:szCs w:val="24"/>
        </w:rPr>
        <w:t>titolare</w:t>
      </w:r>
      <w:r w:rsidR="003A1430" w:rsidRPr="001E7ABF">
        <w:rPr>
          <w:szCs w:val="24"/>
        </w:rPr>
        <w:t xml:space="preserve"> </w:t>
      </w:r>
      <w:r w:rsidR="00EE1EEB">
        <w:rPr>
          <w:szCs w:val="24"/>
        </w:rPr>
        <w:t>gli</w:t>
      </w:r>
      <w:r w:rsidR="00604AEB" w:rsidRPr="001E7ABF">
        <w:rPr>
          <w:szCs w:val="24"/>
        </w:rPr>
        <w:t xml:space="preserve"> importi</w:t>
      </w:r>
      <w:r w:rsidR="00EE1EEB">
        <w:rPr>
          <w:szCs w:val="24"/>
        </w:rPr>
        <w:t xml:space="preserve"> corrispondenti</w:t>
      </w:r>
      <w:r w:rsidR="00604AEB" w:rsidRPr="001E7ABF">
        <w:rPr>
          <w:szCs w:val="24"/>
        </w:rPr>
        <w:t xml:space="preserve">. </w:t>
      </w:r>
    </w:p>
    <w:p w:rsidR="00AE369F" w:rsidRDefault="00B04E00" w:rsidP="0053041D">
      <w:pPr>
        <w:pStyle w:val="Nessunaspaziatura"/>
        <w:spacing w:before="240"/>
        <w:rPr>
          <w:szCs w:val="24"/>
        </w:rPr>
      </w:pPr>
      <w:r>
        <w:rPr>
          <w:szCs w:val="24"/>
        </w:rPr>
        <w:t>2</w:t>
      </w:r>
      <w:r w:rsidR="00A41E95" w:rsidRPr="001E7ABF">
        <w:rPr>
          <w:szCs w:val="24"/>
        </w:rPr>
        <w:t xml:space="preserve">. </w:t>
      </w:r>
      <w:r w:rsidR="0014468D">
        <w:rPr>
          <w:szCs w:val="24"/>
        </w:rPr>
        <w:t xml:space="preserve">Il </w:t>
      </w:r>
      <w:r w:rsidR="00EE1EEB">
        <w:rPr>
          <w:szCs w:val="24"/>
        </w:rPr>
        <w:t xml:space="preserve">GSE </w:t>
      </w:r>
      <w:r w:rsidR="0014468D">
        <w:rPr>
          <w:szCs w:val="24"/>
        </w:rPr>
        <w:t xml:space="preserve">eroga gli incentivi per </w:t>
      </w:r>
      <w:r w:rsidR="003E66AA">
        <w:rPr>
          <w:szCs w:val="24"/>
        </w:rPr>
        <w:t xml:space="preserve">un periodo pari </w:t>
      </w:r>
      <w:r w:rsidR="000558E9">
        <w:rPr>
          <w:szCs w:val="24"/>
        </w:rPr>
        <w:t xml:space="preserve">alla vita </w:t>
      </w:r>
      <w:r w:rsidR="00EC1F38">
        <w:rPr>
          <w:szCs w:val="24"/>
        </w:rPr>
        <w:t xml:space="preserve">utile </w:t>
      </w:r>
      <w:r w:rsidR="0021610D">
        <w:rPr>
          <w:szCs w:val="24"/>
        </w:rPr>
        <w:t xml:space="preserve">convenzionale indicata </w:t>
      </w:r>
      <w:r w:rsidR="00FC5D36">
        <w:rPr>
          <w:szCs w:val="24"/>
        </w:rPr>
        <w:t>all’A</w:t>
      </w:r>
      <w:r w:rsidR="0021610D">
        <w:rPr>
          <w:szCs w:val="24"/>
        </w:rPr>
        <w:t>llegato 1</w:t>
      </w:r>
      <w:r w:rsidR="003C232C">
        <w:rPr>
          <w:szCs w:val="24"/>
        </w:rPr>
        <w:t>,</w:t>
      </w:r>
      <w:r w:rsidR="0021610D">
        <w:rPr>
          <w:szCs w:val="24"/>
        </w:rPr>
        <w:t xml:space="preserve"> </w:t>
      </w:r>
      <w:r w:rsidR="00A41E95" w:rsidRPr="001E7ABF">
        <w:rPr>
          <w:szCs w:val="24"/>
        </w:rPr>
        <w:t>considerat</w:t>
      </w:r>
      <w:r w:rsidR="0004080D">
        <w:rPr>
          <w:szCs w:val="24"/>
        </w:rPr>
        <w:t>a</w:t>
      </w:r>
      <w:r w:rsidR="00A41E95" w:rsidRPr="001E7ABF">
        <w:rPr>
          <w:szCs w:val="24"/>
        </w:rPr>
        <w:t xml:space="preserve"> al netto di eventuali fermate</w:t>
      </w:r>
      <w:r w:rsidR="006A4A84">
        <w:rPr>
          <w:szCs w:val="24"/>
        </w:rPr>
        <w:t xml:space="preserve"> derivanti da cause di forza maggiore</w:t>
      </w:r>
      <w:r w:rsidR="007A715B">
        <w:rPr>
          <w:szCs w:val="24"/>
        </w:rPr>
        <w:t xml:space="preserve"> ovvero </w:t>
      </w:r>
      <w:r w:rsidR="00802868">
        <w:rPr>
          <w:szCs w:val="24"/>
        </w:rPr>
        <w:t xml:space="preserve">da fermate </w:t>
      </w:r>
      <w:r w:rsidR="0023059E">
        <w:rPr>
          <w:szCs w:val="24"/>
        </w:rPr>
        <w:t xml:space="preserve">effettuate </w:t>
      </w:r>
      <w:r w:rsidR="007A715B" w:rsidRPr="001E7ABF">
        <w:rPr>
          <w:szCs w:val="24"/>
        </w:rPr>
        <w:t>per la realizzazione di interventi di ammodernamento e potenziamento non incentivati</w:t>
      </w:r>
      <w:r w:rsidR="0023059E">
        <w:rPr>
          <w:szCs w:val="24"/>
        </w:rPr>
        <w:t>.</w:t>
      </w:r>
    </w:p>
    <w:p w:rsidR="000B025A" w:rsidRPr="00983911" w:rsidRDefault="002D41EA" w:rsidP="00A41E95">
      <w:pPr>
        <w:pStyle w:val="Nessunaspaziatura"/>
        <w:spacing w:before="240"/>
        <w:rPr>
          <w:szCs w:val="24"/>
        </w:rPr>
      </w:pPr>
      <w:r w:rsidRPr="00983911">
        <w:rPr>
          <w:szCs w:val="24"/>
        </w:rPr>
        <w:t xml:space="preserve">4. Ai fini del calcolo del prezzo di mercato di </w:t>
      </w:r>
      <w:r w:rsidR="00305CD2" w:rsidRPr="00983911">
        <w:rPr>
          <w:szCs w:val="24"/>
        </w:rPr>
        <w:t>cui al comma 1, lettera b)</w:t>
      </w:r>
      <w:r w:rsidR="000B025A" w:rsidRPr="00983911">
        <w:rPr>
          <w:szCs w:val="24"/>
        </w:rPr>
        <w:t>:</w:t>
      </w:r>
    </w:p>
    <w:p w:rsidR="00953EC6" w:rsidRPr="00983911" w:rsidRDefault="002D41EA" w:rsidP="00FC5D36">
      <w:pPr>
        <w:pStyle w:val="Nessunaspaziatura"/>
        <w:numPr>
          <w:ilvl w:val="1"/>
          <w:numId w:val="49"/>
        </w:numPr>
        <w:spacing w:before="240"/>
        <w:ind w:left="567"/>
        <w:rPr>
          <w:szCs w:val="24"/>
        </w:rPr>
      </w:pPr>
      <w:r w:rsidRPr="00983911">
        <w:rPr>
          <w:szCs w:val="24"/>
        </w:rPr>
        <w:t>i</w:t>
      </w:r>
      <w:r w:rsidR="004A0AD3" w:rsidRPr="00983911">
        <w:rPr>
          <w:szCs w:val="24"/>
        </w:rPr>
        <w:t>l produttore comunica</w:t>
      </w:r>
      <w:r w:rsidR="00054031" w:rsidRPr="00983911">
        <w:rPr>
          <w:szCs w:val="24"/>
        </w:rPr>
        <w:t xml:space="preserve"> </w:t>
      </w:r>
      <w:r w:rsidR="004A0AD3" w:rsidRPr="00983911">
        <w:rPr>
          <w:szCs w:val="24"/>
        </w:rPr>
        <w:t xml:space="preserve">la quota di energia </w:t>
      </w:r>
      <w:r w:rsidR="00906887" w:rsidRPr="00983911">
        <w:rPr>
          <w:szCs w:val="24"/>
        </w:rPr>
        <w:t xml:space="preserve">prodotta dell’impianto </w:t>
      </w:r>
      <w:r w:rsidR="006B39F6" w:rsidRPr="00983911">
        <w:rPr>
          <w:szCs w:val="24"/>
        </w:rPr>
        <w:t xml:space="preserve">che è </w:t>
      </w:r>
      <w:r w:rsidR="004A0AD3" w:rsidRPr="00983911">
        <w:rPr>
          <w:szCs w:val="24"/>
        </w:rPr>
        <w:t>venduta</w:t>
      </w:r>
      <w:r w:rsidR="004B14DE" w:rsidRPr="00983911">
        <w:rPr>
          <w:szCs w:val="24"/>
        </w:rPr>
        <w:t xml:space="preserve"> </w:t>
      </w:r>
      <w:r w:rsidR="004A0AD3" w:rsidRPr="00983911">
        <w:rPr>
          <w:szCs w:val="24"/>
        </w:rPr>
        <w:t xml:space="preserve">tramite </w:t>
      </w:r>
      <w:r w:rsidR="0067576D" w:rsidRPr="00983911">
        <w:rPr>
          <w:szCs w:val="24"/>
        </w:rPr>
        <w:t>contrattazione di</w:t>
      </w:r>
      <w:r w:rsidR="00AC7CFC" w:rsidRPr="00983911">
        <w:rPr>
          <w:szCs w:val="24"/>
        </w:rPr>
        <w:t xml:space="preserve"> lungo</w:t>
      </w:r>
      <w:r w:rsidR="006B39F6" w:rsidRPr="00983911">
        <w:rPr>
          <w:szCs w:val="24"/>
        </w:rPr>
        <w:t xml:space="preserve"> termine</w:t>
      </w:r>
      <w:r w:rsidR="0038645B" w:rsidRPr="00983911">
        <w:rPr>
          <w:szCs w:val="24"/>
        </w:rPr>
        <w:t>,</w:t>
      </w:r>
      <w:r w:rsidR="00534FF4" w:rsidRPr="00983911">
        <w:rPr>
          <w:szCs w:val="24"/>
        </w:rPr>
        <w:t xml:space="preserve"> anche tramite la </w:t>
      </w:r>
      <w:r w:rsidR="001A3546" w:rsidRPr="00983911">
        <w:rPr>
          <w:szCs w:val="24"/>
        </w:rPr>
        <w:t>sede di negoziazione</w:t>
      </w:r>
      <w:r w:rsidR="00534FF4" w:rsidRPr="00983911">
        <w:rPr>
          <w:szCs w:val="24"/>
        </w:rPr>
        <w:t xml:space="preserve"> di cui </w:t>
      </w:r>
      <w:r w:rsidR="004568E2" w:rsidRPr="00983911">
        <w:rPr>
          <w:szCs w:val="24"/>
        </w:rPr>
        <w:t xml:space="preserve">all’articolo </w:t>
      </w:r>
      <w:r w:rsidR="001A3546" w:rsidRPr="00983911">
        <w:rPr>
          <w:szCs w:val="24"/>
        </w:rPr>
        <w:t>28 del decreto legislativo n. 199 del 2021</w:t>
      </w:r>
      <w:r w:rsidR="00512BA0" w:rsidRPr="00983911">
        <w:rPr>
          <w:szCs w:val="24"/>
        </w:rPr>
        <w:t xml:space="preserve">, </w:t>
      </w:r>
      <w:r w:rsidR="00906887" w:rsidRPr="00983911">
        <w:rPr>
          <w:szCs w:val="24"/>
        </w:rPr>
        <w:t>nonché</w:t>
      </w:r>
      <w:r w:rsidR="004B14DE" w:rsidRPr="00983911">
        <w:rPr>
          <w:szCs w:val="24"/>
        </w:rPr>
        <w:t xml:space="preserve"> la quota di energia venduta </w:t>
      </w:r>
      <w:r w:rsidR="00AB39E2" w:rsidRPr="00983911">
        <w:rPr>
          <w:szCs w:val="24"/>
        </w:rPr>
        <w:t>nei mercati dell’energia elettrica</w:t>
      </w:r>
      <w:r w:rsidR="000458ED" w:rsidRPr="00983911">
        <w:rPr>
          <w:szCs w:val="24"/>
        </w:rPr>
        <w:t xml:space="preserve"> </w:t>
      </w:r>
      <w:r w:rsidR="00995A05" w:rsidRPr="00983911">
        <w:rPr>
          <w:szCs w:val="24"/>
        </w:rPr>
        <w:t xml:space="preserve">tramite contrattazione </w:t>
      </w:r>
      <w:r w:rsidR="000458ED" w:rsidRPr="00983911">
        <w:rPr>
          <w:szCs w:val="24"/>
        </w:rPr>
        <w:t>a pronti</w:t>
      </w:r>
      <w:r w:rsidR="003D5629" w:rsidRPr="00983911">
        <w:rPr>
          <w:szCs w:val="24"/>
        </w:rPr>
        <w:t>;</w:t>
      </w:r>
    </w:p>
    <w:p w:rsidR="00F21253" w:rsidRPr="00983911" w:rsidRDefault="002467C4" w:rsidP="00FC5D36">
      <w:pPr>
        <w:pStyle w:val="Nessunaspaziatura"/>
        <w:numPr>
          <w:ilvl w:val="1"/>
          <w:numId w:val="49"/>
        </w:numPr>
        <w:ind w:left="567"/>
        <w:rPr>
          <w:szCs w:val="24"/>
        </w:rPr>
      </w:pPr>
      <w:r w:rsidRPr="00983911">
        <w:rPr>
          <w:szCs w:val="24"/>
        </w:rPr>
        <w:lastRenderedPageBreak/>
        <w:t>i</w:t>
      </w:r>
      <w:r w:rsidR="00013FD6" w:rsidRPr="00983911">
        <w:rPr>
          <w:szCs w:val="24"/>
        </w:rPr>
        <w:t>l GSE calcol</w:t>
      </w:r>
      <w:r w:rsidR="00AB70EE" w:rsidRPr="00983911">
        <w:rPr>
          <w:szCs w:val="24"/>
        </w:rPr>
        <w:t>a</w:t>
      </w:r>
      <w:r w:rsidR="005D2375" w:rsidRPr="00983911">
        <w:rPr>
          <w:szCs w:val="24"/>
        </w:rPr>
        <w:t xml:space="preserve"> </w:t>
      </w:r>
      <w:r w:rsidR="00013FD6" w:rsidRPr="00983911">
        <w:rPr>
          <w:szCs w:val="24"/>
        </w:rPr>
        <w:t xml:space="preserve">il </w:t>
      </w:r>
      <w:r w:rsidR="000B025A" w:rsidRPr="00983911">
        <w:rPr>
          <w:szCs w:val="24"/>
        </w:rPr>
        <w:t xml:space="preserve">valore del </w:t>
      </w:r>
      <w:r w:rsidR="00013FD6" w:rsidRPr="00983911">
        <w:rPr>
          <w:szCs w:val="24"/>
        </w:rPr>
        <w:t>prezzo</w:t>
      </w:r>
      <w:r w:rsidR="00F21253" w:rsidRPr="00983911">
        <w:rPr>
          <w:szCs w:val="24"/>
        </w:rPr>
        <w:t xml:space="preserve"> di mercato</w:t>
      </w:r>
      <w:r w:rsidRPr="00983911">
        <w:rPr>
          <w:szCs w:val="24"/>
        </w:rPr>
        <w:t xml:space="preserve"> da applicare</w:t>
      </w:r>
      <w:r w:rsidR="00DE2CA7" w:rsidRPr="00983911">
        <w:rPr>
          <w:szCs w:val="24"/>
        </w:rPr>
        <w:t>,</w:t>
      </w:r>
      <w:r w:rsidR="00013FD6" w:rsidRPr="00983911">
        <w:rPr>
          <w:szCs w:val="24"/>
        </w:rPr>
        <w:t xml:space="preserve"> </w:t>
      </w:r>
      <w:r w:rsidR="00F90DE2" w:rsidRPr="00983911">
        <w:rPr>
          <w:szCs w:val="24"/>
        </w:rPr>
        <w:t>sulla base</w:t>
      </w:r>
      <w:r w:rsidR="00013FD6" w:rsidRPr="00983911">
        <w:rPr>
          <w:szCs w:val="24"/>
        </w:rPr>
        <w:t xml:space="preserve"> dei </w:t>
      </w:r>
      <w:r w:rsidR="007306C9" w:rsidRPr="00983911">
        <w:rPr>
          <w:szCs w:val="24"/>
        </w:rPr>
        <w:t>prezzi</w:t>
      </w:r>
      <w:r w:rsidR="00013FD6" w:rsidRPr="00983911">
        <w:rPr>
          <w:szCs w:val="24"/>
        </w:rPr>
        <w:t xml:space="preserve"> </w:t>
      </w:r>
      <w:r w:rsidR="00973E42" w:rsidRPr="00983911">
        <w:rPr>
          <w:szCs w:val="24"/>
        </w:rPr>
        <w:t xml:space="preserve">di riferimento </w:t>
      </w:r>
      <w:r w:rsidR="00E07905" w:rsidRPr="00983911">
        <w:rPr>
          <w:szCs w:val="24"/>
        </w:rPr>
        <w:t xml:space="preserve">rilevabili </w:t>
      </w:r>
      <w:r w:rsidR="009639ED" w:rsidRPr="00983911">
        <w:rPr>
          <w:szCs w:val="24"/>
        </w:rPr>
        <w:t xml:space="preserve">in ciascuna delle </w:t>
      </w:r>
      <w:r w:rsidR="00534FF4" w:rsidRPr="00983911">
        <w:rPr>
          <w:szCs w:val="24"/>
        </w:rPr>
        <w:t>sedi</w:t>
      </w:r>
      <w:r w:rsidR="00282DDB" w:rsidRPr="00983911">
        <w:rPr>
          <w:szCs w:val="24"/>
        </w:rPr>
        <w:t xml:space="preserve"> di negoziazione</w:t>
      </w:r>
      <w:r w:rsidR="009639ED" w:rsidRPr="00983911">
        <w:rPr>
          <w:szCs w:val="24"/>
        </w:rPr>
        <w:t xml:space="preserve"> di cui alla lettera a)</w:t>
      </w:r>
      <w:r w:rsidR="00CB0F33" w:rsidRPr="00983911">
        <w:rPr>
          <w:szCs w:val="24"/>
        </w:rPr>
        <w:t xml:space="preserve">, definiti </w:t>
      </w:r>
      <w:r w:rsidR="00DB1B3A" w:rsidRPr="00983911">
        <w:rPr>
          <w:szCs w:val="24"/>
        </w:rPr>
        <w:t xml:space="preserve">secondo modalità stabilite </w:t>
      </w:r>
      <w:r w:rsidR="00F21253" w:rsidRPr="00983911">
        <w:rPr>
          <w:szCs w:val="24"/>
        </w:rPr>
        <w:t>dall’ARERA</w:t>
      </w:r>
      <w:r w:rsidR="00CB0F33" w:rsidRPr="00983911">
        <w:rPr>
          <w:szCs w:val="24"/>
        </w:rPr>
        <w:t xml:space="preserve"> e pubblicati dal GME sul proprio sito istituzionale.</w:t>
      </w:r>
    </w:p>
    <w:p w:rsidR="00747D13" w:rsidRDefault="00747D13" w:rsidP="00747D13">
      <w:pPr>
        <w:pStyle w:val="Nessunaspaziatura"/>
        <w:spacing w:before="240"/>
        <w:rPr>
          <w:szCs w:val="24"/>
        </w:rPr>
      </w:pPr>
      <w:r>
        <w:rPr>
          <w:szCs w:val="24"/>
        </w:rPr>
        <w:t>5</w:t>
      </w:r>
      <w:r w:rsidRPr="001E7ABF">
        <w:rPr>
          <w:szCs w:val="24"/>
        </w:rPr>
        <w:t xml:space="preserve">. L’erogazione </w:t>
      </w:r>
      <w:r>
        <w:rPr>
          <w:szCs w:val="24"/>
        </w:rPr>
        <w:t xml:space="preserve">degli incentivi </w:t>
      </w:r>
      <w:r w:rsidRPr="001E7ABF">
        <w:rPr>
          <w:szCs w:val="24"/>
        </w:rPr>
        <w:t xml:space="preserve">è sospesa nelle ore in cui si registrano prezzi </w:t>
      </w:r>
      <w:r>
        <w:rPr>
          <w:szCs w:val="24"/>
        </w:rPr>
        <w:t>di mercato</w:t>
      </w:r>
      <w:r w:rsidRPr="001E7ABF">
        <w:rPr>
          <w:szCs w:val="24"/>
        </w:rPr>
        <w:t xml:space="preserve"> pari a zero</w:t>
      </w:r>
      <w:r>
        <w:rPr>
          <w:szCs w:val="24"/>
        </w:rPr>
        <w:t>, ovvero nelle ore in cui</w:t>
      </w:r>
      <w:r w:rsidRPr="001E7ABF">
        <w:rPr>
          <w:szCs w:val="24"/>
        </w:rPr>
        <w:t xml:space="preserve"> si registr</w:t>
      </w:r>
      <w:r>
        <w:rPr>
          <w:szCs w:val="24"/>
        </w:rPr>
        <w:t>a</w:t>
      </w:r>
      <w:r w:rsidRPr="001E7ABF">
        <w:rPr>
          <w:szCs w:val="24"/>
        </w:rPr>
        <w:t xml:space="preserve">no prezzi negativi, </w:t>
      </w:r>
      <w:r w:rsidR="00A5316E">
        <w:rPr>
          <w:szCs w:val="24"/>
        </w:rPr>
        <w:t>ove previsto</w:t>
      </w:r>
      <w:r w:rsidRPr="001E7ABF">
        <w:rPr>
          <w:szCs w:val="24"/>
        </w:rPr>
        <w:t xml:space="preserve"> nel regolamento del mercato elettrico italiano.</w:t>
      </w:r>
    </w:p>
    <w:p w:rsidR="009759E2" w:rsidRPr="00C726E9" w:rsidRDefault="009759E2" w:rsidP="00F3067C">
      <w:pPr>
        <w:pStyle w:val="Sottotitolo"/>
        <w:spacing w:before="360" w:after="360"/>
        <w:jc w:val="center"/>
        <w:outlineLvl w:val="1"/>
        <w:rPr>
          <w:iCs/>
          <w:szCs w:val="24"/>
        </w:rPr>
      </w:pPr>
      <w:r w:rsidRPr="00F3067C">
        <w:t>Art</w:t>
      </w:r>
      <w:r w:rsidRPr="00C726E9">
        <w:rPr>
          <w:iCs/>
          <w:szCs w:val="24"/>
        </w:rPr>
        <w:t xml:space="preserve">. </w:t>
      </w:r>
      <w:r w:rsidR="00CE28A1">
        <w:rPr>
          <w:iCs/>
          <w:szCs w:val="24"/>
        </w:rPr>
        <w:t>10</w:t>
      </w:r>
      <w:r w:rsidR="00E05AD9">
        <w:rPr>
          <w:iCs/>
          <w:szCs w:val="24"/>
        </w:rPr>
        <w:br/>
      </w:r>
      <w:r w:rsidRPr="00F3067C">
        <w:rPr>
          <w:b w:val="0"/>
          <w:bCs/>
          <w:i/>
        </w:rPr>
        <w:t>(</w:t>
      </w:r>
      <w:r w:rsidR="0099089A" w:rsidRPr="00F3067C">
        <w:rPr>
          <w:b w:val="0"/>
          <w:bCs/>
          <w:i/>
        </w:rPr>
        <w:t>Regole</w:t>
      </w:r>
      <w:r w:rsidRPr="00F3067C">
        <w:rPr>
          <w:b w:val="0"/>
          <w:bCs/>
          <w:i/>
        </w:rPr>
        <w:t xml:space="preserve"> </w:t>
      </w:r>
      <w:r w:rsidR="005420BF" w:rsidRPr="00F3067C">
        <w:rPr>
          <w:b w:val="0"/>
          <w:bCs/>
          <w:i/>
        </w:rPr>
        <w:t>operative</w:t>
      </w:r>
      <w:r w:rsidRPr="00F3067C">
        <w:rPr>
          <w:b w:val="0"/>
          <w:bCs/>
          <w:i/>
        </w:rPr>
        <w:t>)</w:t>
      </w:r>
    </w:p>
    <w:p w:rsidR="00F10EFE" w:rsidRPr="00A66A43" w:rsidRDefault="00F10EFE" w:rsidP="00F10EFE">
      <w:pPr>
        <w:spacing w:before="100" w:beforeAutospacing="1" w:after="100" w:afterAutospacing="1"/>
        <w:rPr>
          <w:szCs w:val="24"/>
        </w:rPr>
      </w:pPr>
      <w:r>
        <w:rPr>
          <w:szCs w:val="24"/>
        </w:rPr>
        <w:t xml:space="preserve">1. </w:t>
      </w:r>
      <w:bookmarkStart w:id="12" w:name="_Hlk94206496"/>
      <w:r w:rsidRPr="00A66A43">
        <w:rPr>
          <w:szCs w:val="24"/>
        </w:rPr>
        <w:t>Entro</w:t>
      </w:r>
      <w:r w:rsidR="00A5316E">
        <w:rPr>
          <w:szCs w:val="24"/>
        </w:rPr>
        <w:t xml:space="preserve"> trenta</w:t>
      </w:r>
      <w:r w:rsidRPr="00A66A43">
        <w:rPr>
          <w:szCs w:val="24"/>
        </w:rPr>
        <w:t xml:space="preserve"> giorni dalla data di entrata in vigore del presente decreto, </w:t>
      </w:r>
      <w:r>
        <w:rPr>
          <w:szCs w:val="24"/>
        </w:rPr>
        <w:t>con decreto del Ministero della transizione ecologica, sono approvate, su proposta del</w:t>
      </w:r>
      <w:r w:rsidRPr="00A66A43">
        <w:rPr>
          <w:szCs w:val="24"/>
        </w:rPr>
        <w:t xml:space="preserve"> GSE</w:t>
      </w:r>
      <w:r>
        <w:rPr>
          <w:szCs w:val="24"/>
        </w:rPr>
        <w:t>,</w:t>
      </w:r>
      <w:r w:rsidRPr="00A66A43">
        <w:rPr>
          <w:szCs w:val="24"/>
        </w:rPr>
        <w:t xml:space="preserve"> le regole </w:t>
      </w:r>
      <w:r w:rsidR="005420BF">
        <w:rPr>
          <w:szCs w:val="24"/>
        </w:rPr>
        <w:t>operative</w:t>
      </w:r>
      <w:r w:rsidRPr="00A66A43">
        <w:rPr>
          <w:szCs w:val="24"/>
        </w:rPr>
        <w:t xml:space="preserve"> </w:t>
      </w:r>
      <w:r w:rsidR="005828EE">
        <w:rPr>
          <w:szCs w:val="24"/>
        </w:rPr>
        <w:t>per l’accesso agli incentivi di cui a</w:t>
      </w:r>
      <w:r w:rsidRPr="00A66A43">
        <w:rPr>
          <w:szCs w:val="24"/>
        </w:rPr>
        <w:t>l presente decreto</w:t>
      </w:r>
      <w:r w:rsidRPr="00A66A43">
        <w:rPr>
          <w:color w:val="000000"/>
          <w:szCs w:val="24"/>
        </w:rPr>
        <w:t>.</w:t>
      </w:r>
    </w:p>
    <w:bookmarkEnd w:id="12"/>
    <w:p w:rsidR="00F10EFE" w:rsidRPr="00A66A43" w:rsidRDefault="00F10EFE" w:rsidP="00F10EFE">
      <w:pPr>
        <w:spacing w:before="100" w:beforeAutospacing="1" w:after="100" w:afterAutospacing="1"/>
        <w:rPr>
          <w:szCs w:val="24"/>
        </w:rPr>
      </w:pPr>
      <w:r>
        <w:rPr>
          <w:color w:val="000000"/>
          <w:szCs w:val="24"/>
        </w:rPr>
        <w:t xml:space="preserve">2. </w:t>
      </w:r>
      <w:r w:rsidRPr="00A66A43">
        <w:rPr>
          <w:color w:val="000000"/>
          <w:szCs w:val="24"/>
        </w:rPr>
        <w:t xml:space="preserve">Le </w:t>
      </w:r>
      <w:r w:rsidRPr="00A66A43">
        <w:rPr>
          <w:bCs/>
          <w:color w:val="000000"/>
          <w:szCs w:val="24"/>
        </w:rPr>
        <w:t xml:space="preserve">regole </w:t>
      </w:r>
      <w:r w:rsidR="005420BF">
        <w:rPr>
          <w:bCs/>
          <w:color w:val="000000"/>
          <w:szCs w:val="24"/>
        </w:rPr>
        <w:t>operative</w:t>
      </w:r>
      <w:r w:rsidRPr="00A66A43">
        <w:rPr>
          <w:color w:val="000000"/>
          <w:szCs w:val="24"/>
        </w:rPr>
        <w:t xml:space="preserve"> </w:t>
      </w:r>
      <w:r w:rsidR="00095FD2">
        <w:rPr>
          <w:color w:val="000000"/>
          <w:szCs w:val="24"/>
        </w:rPr>
        <w:t>di cui al comma 1</w:t>
      </w:r>
      <w:r w:rsidRPr="00A66A43">
        <w:rPr>
          <w:color w:val="000000"/>
          <w:szCs w:val="24"/>
        </w:rPr>
        <w:t xml:space="preserve"> disciplinano in particolare:</w:t>
      </w:r>
    </w:p>
    <w:p w:rsidR="00F10EFE" w:rsidRPr="00A66A43" w:rsidRDefault="00F10EFE"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sidRPr="00A66A43">
        <w:rPr>
          <w:color w:val="000000"/>
          <w:szCs w:val="24"/>
        </w:rPr>
        <w:t>i modelli per le</w:t>
      </w:r>
      <w:r w:rsidR="00A5316E">
        <w:rPr>
          <w:color w:val="000000"/>
          <w:szCs w:val="24"/>
        </w:rPr>
        <w:t xml:space="preserve"> istanze</w:t>
      </w:r>
      <w:r w:rsidRPr="00A66A43">
        <w:rPr>
          <w:color w:val="000000"/>
          <w:szCs w:val="24"/>
        </w:rPr>
        <w:t xml:space="preserve"> di partecipazione alle procedure di accesso agli incentivi, in modo tale che il soggetto </w:t>
      </w:r>
      <w:r w:rsidR="00A5316E">
        <w:rPr>
          <w:color w:val="000000"/>
          <w:szCs w:val="24"/>
        </w:rPr>
        <w:t>istante</w:t>
      </w:r>
      <w:r w:rsidRPr="00A66A43">
        <w:rPr>
          <w:color w:val="000000"/>
          <w:szCs w:val="24"/>
        </w:rPr>
        <w:t xml:space="preserve"> sia</w:t>
      </w:r>
      <w:r w:rsidR="00A5316E">
        <w:rPr>
          <w:color w:val="000000"/>
          <w:szCs w:val="24"/>
        </w:rPr>
        <w:t xml:space="preserve"> informato in modo adeguato</w:t>
      </w:r>
      <w:r w:rsidRPr="00A66A43">
        <w:rPr>
          <w:color w:val="000000"/>
          <w:szCs w:val="24"/>
        </w:rPr>
        <w:t xml:space="preserve"> degli adempimenti e delle modalità di compilazione nonché delle conseguenze penali e amministrative derivanti dalle false dichiarazioni rese ai sensi degli articoli 46 e 47 del decreto del Presidente della Repubblica</w:t>
      </w:r>
      <w:r w:rsidR="00134862">
        <w:rPr>
          <w:color w:val="000000"/>
          <w:szCs w:val="24"/>
        </w:rPr>
        <w:t xml:space="preserve"> 28 dicembre 2000,</w:t>
      </w:r>
      <w:r w:rsidRPr="00A66A43">
        <w:rPr>
          <w:color w:val="000000"/>
          <w:szCs w:val="24"/>
        </w:rPr>
        <w:t xml:space="preserve"> n. 445;</w:t>
      </w:r>
    </w:p>
    <w:p w:rsidR="00E05AD9" w:rsidRDefault="00E05AD9"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Pr>
          <w:color w:val="000000"/>
          <w:szCs w:val="24"/>
        </w:rPr>
        <w:t xml:space="preserve">il calendario di dettaglio delle procedure da svolgere e le modalità con le quali viene </w:t>
      </w:r>
      <w:r w:rsidR="00DE31C1">
        <w:rPr>
          <w:color w:val="000000"/>
          <w:szCs w:val="24"/>
        </w:rPr>
        <w:t xml:space="preserve">automaticamente </w:t>
      </w:r>
      <w:r>
        <w:rPr>
          <w:color w:val="000000"/>
          <w:szCs w:val="24"/>
        </w:rPr>
        <w:t>riallocata la potenza eventualmente non assegnata;</w:t>
      </w:r>
    </w:p>
    <w:p w:rsidR="005420BF" w:rsidRDefault="005420BF"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Pr>
          <w:color w:val="000000"/>
          <w:szCs w:val="24"/>
        </w:rPr>
        <w:t>gli schemi di avviso pubblico per ciascuna delle procedure previste</w:t>
      </w:r>
      <w:r w:rsidR="00617F99" w:rsidRPr="00617F99">
        <w:rPr>
          <w:color w:val="000000"/>
          <w:szCs w:val="24"/>
        </w:rPr>
        <w:t xml:space="preserve"> </w:t>
      </w:r>
      <w:r w:rsidR="00617F99">
        <w:rPr>
          <w:color w:val="000000"/>
          <w:szCs w:val="24"/>
        </w:rPr>
        <w:t>in conformità al principio del “</w:t>
      </w:r>
      <w:r w:rsidR="00617F99" w:rsidRPr="008B49CB">
        <w:rPr>
          <w:i/>
          <w:color w:val="000000"/>
          <w:szCs w:val="24"/>
        </w:rPr>
        <w:t>Do No</w:t>
      </w:r>
      <w:r w:rsidR="008B49CB" w:rsidRPr="008B49CB">
        <w:rPr>
          <w:i/>
          <w:color w:val="000000"/>
          <w:szCs w:val="24"/>
        </w:rPr>
        <w:t>t</w:t>
      </w:r>
      <w:r w:rsidR="00617F99" w:rsidRPr="008B49CB">
        <w:rPr>
          <w:i/>
          <w:color w:val="000000"/>
          <w:szCs w:val="24"/>
        </w:rPr>
        <w:t xml:space="preserve"> Significa</w:t>
      </w:r>
      <w:r w:rsidR="00A5316E" w:rsidRPr="008B49CB">
        <w:rPr>
          <w:i/>
          <w:color w:val="000000"/>
          <w:szCs w:val="24"/>
        </w:rPr>
        <w:t>nt</w:t>
      </w:r>
      <w:r w:rsidR="00617F99" w:rsidRPr="008B49CB">
        <w:rPr>
          <w:i/>
          <w:color w:val="000000"/>
          <w:szCs w:val="24"/>
        </w:rPr>
        <w:t xml:space="preserve"> Harm</w:t>
      </w:r>
      <w:r w:rsidR="00617F99">
        <w:rPr>
          <w:color w:val="000000"/>
          <w:szCs w:val="24"/>
        </w:rPr>
        <w:t>” (DNSH)</w:t>
      </w:r>
      <w:r>
        <w:rPr>
          <w:color w:val="000000"/>
          <w:szCs w:val="24"/>
        </w:rPr>
        <w:t>;</w:t>
      </w:r>
    </w:p>
    <w:p w:rsidR="00F10EFE" w:rsidRDefault="00F10EFE"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sidRPr="00A66A43">
        <w:rPr>
          <w:color w:val="000000"/>
          <w:szCs w:val="24"/>
        </w:rPr>
        <w:t xml:space="preserve">i </w:t>
      </w:r>
      <w:r w:rsidRPr="00A66A43">
        <w:rPr>
          <w:bCs/>
          <w:color w:val="000000"/>
          <w:szCs w:val="24"/>
        </w:rPr>
        <w:t>contratti</w:t>
      </w:r>
      <w:r w:rsidRPr="00A66A43">
        <w:rPr>
          <w:color w:val="000000"/>
          <w:szCs w:val="24"/>
        </w:rPr>
        <w:t>-tipo da sottoscrivere da parte dei soggetti richiedenti ai fini del riconoscimento de</w:t>
      </w:r>
      <w:r>
        <w:rPr>
          <w:color w:val="000000"/>
          <w:szCs w:val="24"/>
        </w:rPr>
        <w:t>lla tariffa incentivante</w:t>
      </w:r>
      <w:r w:rsidRPr="00A66A43">
        <w:rPr>
          <w:color w:val="000000"/>
          <w:szCs w:val="24"/>
        </w:rPr>
        <w:t>;</w:t>
      </w:r>
    </w:p>
    <w:p w:rsidR="00F40DFD" w:rsidRDefault="00F40DFD"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Pr>
          <w:color w:val="000000"/>
          <w:szCs w:val="24"/>
        </w:rPr>
        <w:t>gli obblighi a carico dei soggetti beneficiari;</w:t>
      </w:r>
    </w:p>
    <w:p w:rsidR="008D0955" w:rsidRPr="00D55C70" w:rsidRDefault="008D0955" w:rsidP="008D0955">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sidRPr="00D55C70">
        <w:rPr>
          <w:color w:val="000000"/>
          <w:szCs w:val="24"/>
        </w:rPr>
        <w:t>le modalità e le tempistiche con</w:t>
      </w:r>
      <w:r w:rsidR="00D55C70" w:rsidRPr="00D55C70">
        <w:rPr>
          <w:color w:val="000000"/>
          <w:szCs w:val="24"/>
        </w:rPr>
        <w:t xml:space="preserve"> le</w:t>
      </w:r>
      <w:r w:rsidRPr="00D55C70">
        <w:rPr>
          <w:color w:val="000000"/>
          <w:szCs w:val="24"/>
        </w:rPr>
        <w:t xml:space="preserve"> quali gli eventuali </w:t>
      </w:r>
      <w:r w:rsidR="00985F2B" w:rsidRPr="00D55C70">
        <w:rPr>
          <w:color w:val="000000"/>
          <w:szCs w:val="24"/>
        </w:rPr>
        <w:t xml:space="preserve">oneri </w:t>
      </w:r>
      <w:r w:rsidRPr="00D55C70">
        <w:rPr>
          <w:color w:val="000000"/>
          <w:szCs w:val="24"/>
        </w:rPr>
        <w:t>di sbilanciamento</w:t>
      </w:r>
      <w:r w:rsidR="00985F2B" w:rsidRPr="00D55C70">
        <w:rPr>
          <w:color w:val="000000"/>
          <w:szCs w:val="24"/>
        </w:rPr>
        <w:t xml:space="preserve"> per gli </w:t>
      </w:r>
      <w:r w:rsidRPr="00D55C70">
        <w:rPr>
          <w:color w:val="000000"/>
          <w:szCs w:val="24"/>
        </w:rPr>
        <w:t xml:space="preserve">impianti di cui all’articolo 9, comma 1, lettera a), </w:t>
      </w:r>
      <w:r w:rsidR="00985F2B" w:rsidRPr="00D55C70">
        <w:rPr>
          <w:color w:val="000000"/>
          <w:szCs w:val="24"/>
        </w:rPr>
        <w:t>son</w:t>
      </w:r>
      <w:r w:rsidRPr="00D55C70">
        <w:rPr>
          <w:color w:val="000000"/>
          <w:szCs w:val="24"/>
        </w:rPr>
        <w:t>o trasferiti a</w:t>
      </w:r>
      <w:r w:rsidR="00985F2B" w:rsidRPr="00D55C70">
        <w:rPr>
          <w:color w:val="000000"/>
          <w:szCs w:val="24"/>
        </w:rPr>
        <w:t xml:space="preserve"> carico dei</w:t>
      </w:r>
      <w:r w:rsidRPr="00D55C70">
        <w:rPr>
          <w:color w:val="000000"/>
          <w:szCs w:val="24"/>
        </w:rPr>
        <w:t xml:space="preserve"> soggetti beneficiari;</w:t>
      </w:r>
    </w:p>
    <w:p w:rsidR="00F10EFE" w:rsidRDefault="00437AF1"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Pr>
          <w:color w:val="000000"/>
          <w:szCs w:val="24"/>
        </w:rPr>
        <w:t>le tempistiche e le modalità con le quali il GSE provvede all’acquisizione delle misure</w:t>
      </w:r>
      <w:r w:rsidR="009E1FCF">
        <w:rPr>
          <w:color w:val="000000"/>
          <w:szCs w:val="24"/>
        </w:rPr>
        <w:t xml:space="preserve"> elettriche</w:t>
      </w:r>
      <w:r>
        <w:rPr>
          <w:color w:val="000000"/>
          <w:szCs w:val="24"/>
        </w:rPr>
        <w:t xml:space="preserve">, in attuazione dell’articolo </w:t>
      </w:r>
      <w:r w:rsidR="002374F8">
        <w:rPr>
          <w:color w:val="000000"/>
          <w:szCs w:val="24"/>
        </w:rPr>
        <w:t>36 del decreto legislativo</w:t>
      </w:r>
      <w:r w:rsidR="006E1DBD">
        <w:rPr>
          <w:color w:val="000000"/>
          <w:szCs w:val="24"/>
        </w:rPr>
        <w:t xml:space="preserve"> 199 del 2021</w:t>
      </w:r>
      <w:r>
        <w:rPr>
          <w:color w:val="000000"/>
          <w:szCs w:val="24"/>
        </w:rPr>
        <w:t xml:space="preserve">, nonché le modalità con le quali </w:t>
      </w:r>
      <w:r w:rsidR="003D48C9">
        <w:rPr>
          <w:color w:val="000000"/>
          <w:szCs w:val="24"/>
        </w:rPr>
        <w:t xml:space="preserve">provvede </w:t>
      </w:r>
      <w:r>
        <w:rPr>
          <w:color w:val="000000"/>
          <w:szCs w:val="24"/>
        </w:rPr>
        <w:t xml:space="preserve">all’erogazione degli incentivi </w:t>
      </w:r>
      <w:r w:rsidR="003D48C9">
        <w:rPr>
          <w:color w:val="000000"/>
          <w:szCs w:val="24"/>
        </w:rPr>
        <w:t>spettanti</w:t>
      </w:r>
      <w:r w:rsidR="00F10EFE">
        <w:rPr>
          <w:color w:val="000000"/>
          <w:szCs w:val="24"/>
        </w:rPr>
        <w:t>;</w:t>
      </w:r>
    </w:p>
    <w:p w:rsidR="008B49CB" w:rsidRDefault="008B49CB" w:rsidP="008B49CB">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Pr>
          <w:color w:val="000000"/>
          <w:szCs w:val="24"/>
        </w:rPr>
        <w:t>le modalità con le quali si provvede alle verifiche e ai controlli e, in particolare, la certificazione volontaria EMAS prevista dal Regolamento CE 1221/2009 e Decisione UE 2018/833 della Commissione europea;</w:t>
      </w:r>
    </w:p>
    <w:p w:rsidR="00A57A03" w:rsidRDefault="0042715D"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Pr>
          <w:color w:val="000000"/>
          <w:szCs w:val="24"/>
        </w:rPr>
        <w:t>l</w:t>
      </w:r>
      <w:r w:rsidR="00A57A03">
        <w:rPr>
          <w:color w:val="000000"/>
          <w:szCs w:val="24"/>
        </w:rPr>
        <w:t xml:space="preserve">a modalità con le quali, decorsi due anni dalla data di entrata in vigore del presente decreto, la </w:t>
      </w:r>
      <w:r>
        <w:rPr>
          <w:color w:val="000000"/>
          <w:szCs w:val="24"/>
        </w:rPr>
        <w:t>soglia di potenza per l’accesso alla procedura accelerata di cui all’articolo 6 può essere ridotta;</w:t>
      </w:r>
    </w:p>
    <w:p w:rsidR="00F10EFE" w:rsidRDefault="00F10EFE"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sidRPr="00C80807">
        <w:rPr>
          <w:color w:val="000000"/>
          <w:szCs w:val="24"/>
        </w:rPr>
        <w:t>gli oneri istruttori e gestionali a carico dei soggetti che richiedono l’accesso agli incentivi di cui al presente decreto</w:t>
      </w:r>
      <w:r w:rsidR="00C67339">
        <w:rPr>
          <w:color w:val="000000"/>
          <w:szCs w:val="24"/>
        </w:rPr>
        <w:t>,</w:t>
      </w:r>
      <w:r w:rsidRPr="00C80807">
        <w:rPr>
          <w:color w:val="000000"/>
          <w:szCs w:val="24"/>
        </w:rPr>
        <w:t xml:space="preserve"> in conformità alle disposizioni di cui al DM 24 dicembre 2014</w:t>
      </w:r>
      <w:r>
        <w:rPr>
          <w:color w:val="000000"/>
          <w:szCs w:val="24"/>
        </w:rPr>
        <w:t>;</w:t>
      </w:r>
    </w:p>
    <w:p w:rsidR="00011EB5" w:rsidRDefault="00011EB5" w:rsidP="00FF03FF">
      <w:pPr>
        <w:pStyle w:val="Paragrafoelenco"/>
        <w:numPr>
          <w:ilvl w:val="1"/>
          <w:numId w:val="30"/>
        </w:numPr>
        <w:suppressAutoHyphens w:val="0"/>
        <w:overflowPunct/>
        <w:autoSpaceDE/>
        <w:autoSpaceDN/>
        <w:adjustRightInd/>
        <w:spacing w:before="100" w:beforeAutospacing="1" w:after="100" w:afterAutospacing="1"/>
        <w:ind w:left="567"/>
        <w:contextualSpacing/>
        <w:textAlignment w:val="auto"/>
        <w:rPr>
          <w:color w:val="000000"/>
          <w:szCs w:val="24"/>
        </w:rPr>
      </w:pPr>
      <w:r>
        <w:rPr>
          <w:color w:val="000000"/>
          <w:szCs w:val="24"/>
        </w:rPr>
        <w:t xml:space="preserve">le modalità </w:t>
      </w:r>
      <w:r w:rsidR="00A16847">
        <w:rPr>
          <w:color w:val="000000"/>
          <w:szCs w:val="24"/>
        </w:rPr>
        <w:t xml:space="preserve">operative </w:t>
      </w:r>
      <w:r>
        <w:rPr>
          <w:color w:val="000000"/>
          <w:szCs w:val="24"/>
        </w:rPr>
        <w:t xml:space="preserve">con le quali </w:t>
      </w:r>
      <w:r w:rsidR="004511B6">
        <w:rPr>
          <w:color w:val="000000"/>
          <w:szCs w:val="24"/>
        </w:rPr>
        <w:t xml:space="preserve">è </w:t>
      </w:r>
      <w:r w:rsidR="00C12EB5">
        <w:rPr>
          <w:color w:val="000000"/>
          <w:szCs w:val="24"/>
        </w:rPr>
        <w:t>verificato il rispetto del</w:t>
      </w:r>
      <w:r w:rsidR="004511B6">
        <w:rPr>
          <w:color w:val="000000"/>
          <w:szCs w:val="24"/>
        </w:rPr>
        <w:t xml:space="preserve">la previsione di cui all’articolo </w:t>
      </w:r>
      <w:r w:rsidR="00C12EB5">
        <w:rPr>
          <w:color w:val="000000"/>
          <w:szCs w:val="24"/>
        </w:rPr>
        <w:t>5, comma 5, lettera d)</w:t>
      </w:r>
      <w:r w:rsidR="00B74745">
        <w:rPr>
          <w:color w:val="000000"/>
          <w:szCs w:val="24"/>
        </w:rPr>
        <w:t>,</w:t>
      </w:r>
      <w:r w:rsidR="004D6C3B">
        <w:rPr>
          <w:color w:val="000000"/>
          <w:szCs w:val="24"/>
        </w:rPr>
        <w:t xml:space="preserve"> del decreto legislativo </w:t>
      </w:r>
      <w:r w:rsidR="006E1DBD">
        <w:rPr>
          <w:color w:val="000000"/>
          <w:szCs w:val="24"/>
        </w:rPr>
        <w:t>199 del 2021,</w:t>
      </w:r>
      <w:r w:rsidR="00C12EB5">
        <w:rPr>
          <w:color w:val="000000"/>
          <w:szCs w:val="24"/>
        </w:rPr>
        <w:t xml:space="preserve"> in materia di artato frazionamento delle iniziative</w:t>
      </w:r>
      <w:r w:rsidR="00C67339">
        <w:rPr>
          <w:color w:val="000000"/>
          <w:szCs w:val="24"/>
        </w:rPr>
        <w:t>.</w:t>
      </w:r>
    </w:p>
    <w:p w:rsidR="003C62B9" w:rsidRPr="001E7ABF" w:rsidRDefault="003C62B9" w:rsidP="00F3067C">
      <w:pPr>
        <w:pStyle w:val="Sottotitolo"/>
        <w:spacing w:before="360" w:after="360"/>
        <w:jc w:val="center"/>
        <w:outlineLvl w:val="1"/>
        <w:rPr>
          <w:i/>
          <w:iCs/>
          <w:szCs w:val="24"/>
        </w:rPr>
      </w:pPr>
      <w:r w:rsidRPr="000E5422">
        <w:rPr>
          <w:iCs/>
          <w:szCs w:val="24"/>
        </w:rPr>
        <w:t xml:space="preserve">Art. </w:t>
      </w:r>
      <w:r>
        <w:rPr>
          <w:iCs/>
          <w:szCs w:val="24"/>
        </w:rPr>
        <w:t>1</w:t>
      </w:r>
      <w:r w:rsidR="00CE28A1">
        <w:rPr>
          <w:iCs/>
          <w:szCs w:val="24"/>
        </w:rPr>
        <w:t>1</w:t>
      </w:r>
      <w:r w:rsidRPr="003A1739">
        <w:br/>
      </w:r>
      <w:r w:rsidRPr="00F3067C">
        <w:rPr>
          <w:b w:val="0"/>
          <w:bCs/>
          <w:i/>
        </w:rPr>
        <w:t>(Partecipazione alle procedure di asta di impianti ubicati in altri Stati Membri)</w:t>
      </w:r>
    </w:p>
    <w:p w:rsidR="003C62B9" w:rsidRPr="001E7ABF" w:rsidRDefault="003C62B9" w:rsidP="003C62B9">
      <w:pPr>
        <w:pStyle w:val="Nessunaspaziatura"/>
        <w:spacing w:before="240"/>
        <w:rPr>
          <w:szCs w:val="24"/>
        </w:rPr>
      </w:pPr>
      <w:r w:rsidRPr="001E7ABF">
        <w:rPr>
          <w:szCs w:val="24"/>
        </w:rPr>
        <w:t xml:space="preserve">1. Gli impianti ubicati sul territorio di Stati membri dell’Unione </w:t>
      </w:r>
      <w:r w:rsidR="00A5316E">
        <w:rPr>
          <w:szCs w:val="24"/>
        </w:rPr>
        <w:t>e</w:t>
      </w:r>
      <w:r w:rsidRPr="001E7ABF">
        <w:rPr>
          <w:szCs w:val="24"/>
        </w:rPr>
        <w:t xml:space="preserve">uropea o di Stati terzi confinanti con l’Italia e con i quali la UE ha stipulato un accordo di libero scambio, che esportano fisicamente </w:t>
      </w:r>
      <w:r w:rsidRPr="001E7ABF">
        <w:rPr>
          <w:szCs w:val="24"/>
        </w:rPr>
        <w:lastRenderedPageBreak/>
        <w:t xml:space="preserve">la loro produzione in Italia, possono partecipare alle procedure </w:t>
      </w:r>
      <w:r w:rsidR="00D52479">
        <w:rPr>
          <w:szCs w:val="24"/>
        </w:rPr>
        <w:t>di cui a</w:t>
      </w:r>
      <w:r w:rsidRPr="001E7ABF">
        <w:rPr>
          <w:szCs w:val="24"/>
        </w:rPr>
        <w:t>l presente decreto, alle condizioni e secondo le modalità indicate nel presente articolo.</w:t>
      </w:r>
    </w:p>
    <w:p w:rsidR="003C62B9" w:rsidRPr="001E7ABF" w:rsidRDefault="003C62B9" w:rsidP="00F3067C">
      <w:pPr>
        <w:pStyle w:val="Nessunaspaziatura"/>
        <w:spacing w:before="240" w:after="240"/>
        <w:rPr>
          <w:szCs w:val="24"/>
        </w:rPr>
      </w:pPr>
      <w:r w:rsidRPr="001E7ABF">
        <w:rPr>
          <w:szCs w:val="24"/>
        </w:rPr>
        <w:t>2. Sono ammessi alle procedure gli impianti di cui al comma 1 a condizione che:</w:t>
      </w:r>
    </w:p>
    <w:p w:rsidR="003C62B9" w:rsidRPr="001E7ABF" w:rsidRDefault="003C62B9" w:rsidP="00FF03FF">
      <w:pPr>
        <w:pStyle w:val="Nessunaspaziatura"/>
        <w:numPr>
          <w:ilvl w:val="0"/>
          <w:numId w:val="3"/>
        </w:numPr>
        <w:ind w:left="426"/>
        <w:rPr>
          <w:szCs w:val="24"/>
        </w:rPr>
      </w:pPr>
      <w:r w:rsidRPr="001E7ABF">
        <w:rPr>
          <w:szCs w:val="24"/>
        </w:rPr>
        <w:t xml:space="preserve">esista un accordo con lo Stato Membro o con lo Stato terzo confinante in cui è ubicato l’impianto, redatto ai sensi </w:t>
      </w:r>
      <w:r w:rsidR="00792039" w:rsidRPr="001E7ABF">
        <w:rPr>
          <w:szCs w:val="24"/>
        </w:rPr>
        <w:t>de</w:t>
      </w:r>
      <w:r w:rsidR="00792039">
        <w:rPr>
          <w:szCs w:val="24"/>
        </w:rPr>
        <w:t xml:space="preserve">ll’articolo 16 di cui al decreto legislativo </w:t>
      </w:r>
      <w:r w:rsidR="006E1DBD">
        <w:rPr>
          <w:color w:val="000000"/>
          <w:szCs w:val="24"/>
        </w:rPr>
        <w:t>199 del 2021</w:t>
      </w:r>
      <w:r w:rsidRPr="001E7ABF">
        <w:rPr>
          <w:szCs w:val="24"/>
        </w:rPr>
        <w:t>;</w:t>
      </w:r>
    </w:p>
    <w:p w:rsidR="003C62B9" w:rsidRPr="001E7ABF" w:rsidRDefault="003C62B9" w:rsidP="00FF03FF">
      <w:pPr>
        <w:pStyle w:val="Nessunaspaziatura"/>
        <w:numPr>
          <w:ilvl w:val="0"/>
          <w:numId w:val="3"/>
        </w:numPr>
        <w:ind w:left="426"/>
        <w:rPr>
          <w:szCs w:val="24"/>
        </w:rPr>
      </w:pPr>
      <w:r w:rsidRPr="001E7ABF">
        <w:rPr>
          <w:szCs w:val="24"/>
        </w:rPr>
        <w:t>l’accordo stabilisca un sistema di reciprocità e le modalità con le quali è fornita prova dell’importazione fisica dell’elettricità rinnovabile;</w:t>
      </w:r>
    </w:p>
    <w:p w:rsidR="003C62B9" w:rsidRPr="001E7ABF" w:rsidRDefault="003C62B9" w:rsidP="00FF03FF">
      <w:pPr>
        <w:pStyle w:val="Nessunaspaziatura"/>
        <w:numPr>
          <w:ilvl w:val="0"/>
          <w:numId w:val="3"/>
        </w:numPr>
        <w:ind w:left="426"/>
        <w:rPr>
          <w:szCs w:val="24"/>
        </w:rPr>
      </w:pPr>
      <w:r w:rsidRPr="001E7ABF">
        <w:rPr>
          <w:szCs w:val="24"/>
        </w:rPr>
        <w:t>gli impianti posseggano tutti i requisiti soggettivi e oggettivi richiesti dal presente decreto agli impianti ubicati sul territorio nazionale, comprovati secondo modalità indicate dal GSE.</w:t>
      </w:r>
    </w:p>
    <w:p w:rsidR="003C62B9" w:rsidRPr="001E7ABF" w:rsidRDefault="003C62B9" w:rsidP="003C62B9">
      <w:pPr>
        <w:pStyle w:val="Nessunaspaziatura"/>
        <w:spacing w:before="240" w:after="240"/>
        <w:rPr>
          <w:szCs w:val="24"/>
        </w:rPr>
      </w:pPr>
      <w:r w:rsidRPr="001E7ABF">
        <w:rPr>
          <w:szCs w:val="24"/>
        </w:rPr>
        <w:t xml:space="preserve">3. La potenza massima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UE</m:t>
            </m:r>
          </m:sub>
        </m:sSub>
      </m:oMath>
      <w:r w:rsidRPr="001E7ABF">
        <w:rPr>
          <w:szCs w:val="24"/>
        </w:rPr>
        <w:fldChar w:fldCharType="begin"/>
      </w:r>
      <w:r w:rsidRPr="001E7ABF">
        <w:rPr>
          <w:szCs w:val="24"/>
        </w:rPr>
        <w:instrText xml:space="preserve"> QUOTE </w:instrText>
      </w:r>
      <w:r w:rsidRPr="001E7ABF">
        <w:rPr>
          <w:noProof/>
        </w:rPr>
        <w:drawing>
          <wp:inline distT="0" distB="0" distL="0" distR="0" wp14:anchorId="321DE7C7" wp14:editId="4051945C">
            <wp:extent cx="284480" cy="146685"/>
            <wp:effectExtent l="0" t="0" r="1270" b="571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146685"/>
                    </a:xfrm>
                    <a:prstGeom prst="rect">
                      <a:avLst/>
                    </a:prstGeom>
                    <a:noFill/>
                    <a:ln>
                      <a:noFill/>
                    </a:ln>
                  </pic:spPr>
                </pic:pic>
              </a:graphicData>
            </a:graphic>
          </wp:inline>
        </w:drawing>
      </w:r>
      <w:r w:rsidRPr="001E7ABF">
        <w:rPr>
          <w:szCs w:val="24"/>
        </w:rPr>
        <w:instrText xml:space="preserve"> </w:instrText>
      </w:r>
      <w:r w:rsidRPr="001E7ABF">
        <w:rPr>
          <w:szCs w:val="24"/>
        </w:rPr>
        <w:fldChar w:fldCharType="end"/>
      </w:r>
      <w:r w:rsidRPr="001E7ABF">
        <w:rPr>
          <w:szCs w:val="24"/>
        </w:rPr>
        <w:t xml:space="preserve"> resa disponibile nelle procedure d’asta per gli impianti di cui al comma 1, è calcolata sulla base della seguente formula:</w:t>
      </w:r>
    </w:p>
    <w:p w:rsidR="003C62B9" w:rsidRPr="001E7ABF" w:rsidRDefault="005370F0" w:rsidP="003C62B9">
      <w:pPr>
        <w:pStyle w:val="Nessunaspaziatura"/>
        <w:rPr>
          <w:szCs w:val="24"/>
        </w:rPr>
      </w:pPr>
      <m:oMathPara>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UE</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TOT asta</m:t>
              </m:r>
            </m:sub>
          </m:sSub>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 xml:space="preserve">E  </m:t>
                  </m:r>
                </m:e>
                <m:sub>
                  <m:r>
                    <w:rPr>
                      <w:rFonts w:ascii="Cambria Math" w:hAnsi="Cambria Math"/>
                      <w:szCs w:val="24"/>
                    </w:rPr>
                    <m:t>imp SM1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FER</m:t>
                  </m:r>
                </m:e>
                <m:sub>
                  <m:r>
                    <w:rPr>
                      <w:rFonts w:ascii="Cambria Math" w:hAnsi="Cambria Math"/>
                      <w:szCs w:val="24"/>
                    </w:rPr>
                    <m:t xml:space="preserve"> % SMI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imp SM2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FER</m:t>
                  </m:r>
                </m:e>
                <m:sub>
                  <m:r>
                    <w:rPr>
                      <w:rFonts w:ascii="Cambria Math" w:hAnsi="Cambria Math"/>
                      <w:szCs w:val="24"/>
                    </w:rPr>
                    <m:t xml:space="preserve"> % SM2</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E</m:t>
                  </m:r>
                </m:e>
                <m:sub>
                  <m:r>
                    <w:rPr>
                      <w:rFonts w:ascii="Cambria Math" w:hAnsi="Cambria Math"/>
                      <w:szCs w:val="24"/>
                    </w:rPr>
                    <m:t>imp SMn</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FER</m:t>
                  </m:r>
                </m:e>
                <m:sub>
                  <m:r>
                    <w:rPr>
                      <w:rFonts w:ascii="Cambria Math" w:hAnsi="Cambria Math"/>
                      <w:szCs w:val="24"/>
                    </w:rPr>
                    <m:t>% SMn</m:t>
                  </m:r>
                </m:sub>
              </m:sSub>
            </m:num>
            <m:den>
              <m:sSub>
                <m:sSubPr>
                  <m:ctrlPr>
                    <w:rPr>
                      <w:rFonts w:ascii="Cambria Math" w:hAnsi="Cambria Math"/>
                      <w:i/>
                      <w:szCs w:val="24"/>
                    </w:rPr>
                  </m:ctrlPr>
                </m:sSubPr>
                <m:e>
                  <m:r>
                    <w:rPr>
                      <w:rFonts w:ascii="Cambria Math" w:hAnsi="Cambria Math"/>
                      <w:szCs w:val="24"/>
                    </w:rPr>
                    <m:t>E</m:t>
                  </m:r>
                </m:e>
                <m:sub>
                  <m:r>
                    <w:rPr>
                      <w:rFonts w:ascii="Cambria Math" w:hAnsi="Cambria Math"/>
                      <w:szCs w:val="24"/>
                    </w:rPr>
                    <m:t>tot consumata ITA</m:t>
                  </m:r>
                </m:sub>
              </m:sSub>
            </m:den>
          </m:f>
        </m:oMath>
      </m:oMathPara>
    </w:p>
    <w:p w:rsidR="003C62B9" w:rsidRPr="001E7ABF" w:rsidRDefault="003C62B9" w:rsidP="003C62B9">
      <w:pPr>
        <w:pStyle w:val="Nessunaspaziatura"/>
        <w:spacing w:before="240"/>
        <w:rPr>
          <w:szCs w:val="24"/>
        </w:rPr>
      </w:pPr>
      <w:r w:rsidRPr="001E7ABF">
        <w:rPr>
          <w:szCs w:val="24"/>
        </w:rPr>
        <w:t>Dove</w:t>
      </w:r>
    </w:p>
    <w:p w:rsidR="003C62B9" w:rsidRPr="001E7ABF" w:rsidRDefault="005370F0" w:rsidP="003C62B9">
      <w:pPr>
        <w:pStyle w:val="Nessunaspaziatura"/>
        <w:ind w:left="567"/>
        <w:rPr>
          <w:szCs w:val="24"/>
        </w:rPr>
      </w:pP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TOT asta</m:t>
            </m:r>
          </m:sub>
        </m:sSub>
      </m:oMath>
      <w:r w:rsidR="003C62B9" w:rsidRPr="001E7ABF">
        <w:rPr>
          <w:szCs w:val="24"/>
        </w:rPr>
        <w:fldChar w:fldCharType="begin"/>
      </w:r>
      <w:r w:rsidR="003C62B9" w:rsidRPr="001E7ABF">
        <w:rPr>
          <w:szCs w:val="24"/>
        </w:rPr>
        <w:instrText xml:space="preserve"> QUOTE </w:instrText>
      </w:r>
      <w:r w:rsidR="003C62B9" w:rsidRPr="001E7ABF">
        <w:rPr>
          <w:noProof/>
        </w:rPr>
        <w:drawing>
          <wp:inline distT="0" distB="0" distL="0" distR="0" wp14:anchorId="14B569D0" wp14:editId="0EA9029E">
            <wp:extent cx="621030" cy="155575"/>
            <wp:effectExtent l="0" t="0" r="762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1030" cy="155575"/>
                    </a:xfrm>
                    <a:prstGeom prst="rect">
                      <a:avLst/>
                    </a:prstGeom>
                    <a:noFill/>
                    <a:ln>
                      <a:noFill/>
                    </a:ln>
                  </pic:spPr>
                </pic:pic>
              </a:graphicData>
            </a:graphic>
          </wp:inline>
        </w:drawing>
      </w:r>
      <w:r w:rsidR="003C62B9" w:rsidRPr="001E7ABF">
        <w:rPr>
          <w:szCs w:val="24"/>
        </w:rPr>
        <w:instrText xml:space="preserve"> </w:instrText>
      </w:r>
      <w:r w:rsidR="003C62B9" w:rsidRPr="001E7ABF">
        <w:rPr>
          <w:szCs w:val="24"/>
        </w:rPr>
        <w:fldChar w:fldCharType="end"/>
      </w:r>
      <w:r w:rsidR="003C62B9" w:rsidRPr="001E7ABF">
        <w:rPr>
          <w:szCs w:val="24"/>
        </w:rPr>
        <w:t xml:space="preserve"> : è la potenza totale messa ad asta in ciascun gruppo, come indicata all’articolo </w:t>
      </w:r>
      <w:r w:rsidR="00EF57E5">
        <w:rPr>
          <w:szCs w:val="24"/>
        </w:rPr>
        <w:t>4</w:t>
      </w:r>
      <w:r w:rsidR="003C62B9" w:rsidRPr="001E7ABF">
        <w:rPr>
          <w:szCs w:val="24"/>
        </w:rPr>
        <w:t xml:space="preserve">, comma </w:t>
      </w:r>
      <w:r w:rsidR="003C62B9">
        <w:rPr>
          <w:szCs w:val="24"/>
        </w:rPr>
        <w:t>1</w:t>
      </w:r>
      <w:r w:rsidR="003C62B9" w:rsidRPr="001E7ABF">
        <w:rPr>
          <w:szCs w:val="24"/>
        </w:rPr>
        <w:t>;</w:t>
      </w:r>
    </w:p>
    <w:p w:rsidR="003C62B9" w:rsidRPr="001E7ABF" w:rsidRDefault="005370F0" w:rsidP="003C62B9">
      <w:pPr>
        <w:pStyle w:val="Nessunaspaziatura"/>
        <w:ind w:left="567"/>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imp SMn</m:t>
            </m:r>
          </m:sub>
        </m:sSub>
      </m:oMath>
      <w:r w:rsidR="003C62B9" w:rsidRPr="001E7ABF">
        <w:rPr>
          <w:szCs w:val="24"/>
        </w:rPr>
        <w:fldChar w:fldCharType="begin"/>
      </w:r>
      <w:r w:rsidR="003C62B9" w:rsidRPr="001E7ABF">
        <w:rPr>
          <w:szCs w:val="24"/>
        </w:rPr>
        <w:instrText xml:space="preserve"> QUOTE </w:instrText>
      </w:r>
      <w:r w:rsidR="003C62B9" w:rsidRPr="001E7ABF">
        <w:rPr>
          <w:noProof/>
        </w:rPr>
        <w:drawing>
          <wp:inline distT="0" distB="0" distL="0" distR="0" wp14:anchorId="04D627C4" wp14:editId="26C03ECE">
            <wp:extent cx="621030" cy="163830"/>
            <wp:effectExtent l="0" t="0" r="7620" b="762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21030" cy="163830"/>
                    </a:xfrm>
                    <a:prstGeom prst="rect">
                      <a:avLst/>
                    </a:prstGeom>
                    <a:noFill/>
                    <a:ln>
                      <a:noFill/>
                    </a:ln>
                  </pic:spPr>
                </pic:pic>
              </a:graphicData>
            </a:graphic>
          </wp:inline>
        </w:drawing>
      </w:r>
      <w:r w:rsidR="003C62B9" w:rsidRPr="001E7ABF">
        <w:rPr>
          <w:szCs w:val="24"/>
        </w:rPr>
        <w:instrText xml:space="preserve"> </w:instrText>
      </w:r>
      <w:r w:rsidR="003C62B9" w:rsidRPr="001E7ABF">
        <w:rPr>
          <w:szCs w:val="24"/>
        </w:rPr>
        <w:fldChar w:fldCharType="end"/>
      </w:r>
      <w:r w:rsidR="003C62B9" w:rsidRPr="001E7ABF">
        <w:rPr>
          <w:szCs w:val="24"/>
        </w:rPr>
        <w:t xml:space="preserve"> : è l’energia totale importata dallo Stato membro n;</w:t>
      </w:r>
    </w:p>
    <w:p w:rsidR="003C62B9" w:rsidRPr="001E7ABF" w:rsidRDefault="005370F0" w:rsidP="003C62B9">
      <w:pPr>
        <w:pStyle w:val="Nessunaspaziatura"/>
        <w:ind w:left="567"/>
        <w:rPr>
          <w:szCs w:val="24"/>
        </w:rPr>
      </w:pPr>
      <m:oMath>
        <m:sSub>
          <m:sSubPr>
            <m:ctrlPr>
              <w:rPr>
                <w:rFonts w:ascii="Cambria Math" w:hAnsi="Cambria Math"/>
                <w:i/>
                <w:szCs w:val="24"/>
              </w:rPr>
            </m:ctrlPr>
          </m:sSubPr>
          <m:e>
            <m:r>
              <w:rPr>
                <w:rFonts w:ascii="Cambria Math" w:hAnsi="Cambria Math"/>
                <w:szCs w:val="24"/>
              </w:rPr>
              <m:t>FER</m:t>
            </m:r>
          </m:e>
          <m:sub>
            <m:r>
              <w:rPr>
                <w:rFonts w:ascii="Cambria Math" w:hAnsi="Cambria Math"/>
                <w:szCs w:val="24"/>
              </w:rPr>
              <m:t>% SMn</m:t>
            </m:r>
          </m:sub>
        </m:sSub>
      </m:oMath>
      <w:r w:rsidR="003C62B9" w:rsidRPr="001E7ABF">
        <w:rPr>
          <w:szCs w:val="24"/>
        </w:rPr>
        <w:fldChar w:fldCharType="begin"/>
      </w:r>
      <w:r w:rsidR="003C62B9" w:rsidRPr="001E7ABF">
        <w:rPr>
          <w:szCs w:val="24"/>
        </w:rPr>
        <w:instrText xml:space="preserve"> QUOTE </w:instrText>
      </w:r>
      <w:r w:rsidR="003C62B9" w:rsidRPr="001E7ABF">
        <w:rPr>
          <w:noProof/>
        </w:rPr>
        <w:drawing>
          <wp:inline distT="0" distB="0" distL="0" distR="0" wp14:anchorId="38362BF2" wp14:editId="1140A4DB">
            <wp:extent cx="707390" cy="155575"/>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7390" cy="155575"/>
                    </a:xfrm>
                    <a:prstGeom prst="rect">
                      <a:avLst/>
                    </a:prstGeom>
                    <a:noFill/>
                    <a:ln>
                      <a:noFill/>
                    </a:ln>
                  </pic:spPr>
                </pic:pic>
              </a:graphicData>
            </a:graphic>
          </wp:inline>
        </w:drawing>
      </w:r>
      <w:r w:rsidR="003C62B9" w:rsidRPr="001E7ABF">
        <w:rPr>
          <w:szCs w:val="24"/>
        </w:rPr>
        <w:instrText xml:space="preserve"> </w:instrText>
      </w:r>
      <w:r w:rsidR="003C62B9" w:rsidRPr="001E7ABF">
        <w:rPr>
          <w:szCs w:val="24"/>
        </w:rPr>
        <w:fldChar w:fldCharType="end"/>
      </w:r>
      <w:r w:rsidR="003C62B9" w:rsidRPr="001E7ABF">
        <w:rPr>
          <w:szCs w:val="24"/>
        </w:rPr>
        <w:t xml:space="preserve"> : è la percentuale di energia da fonti rinnovabili presente nel mix dello Stato Membro n;</w:t>
      </w:r>
    </w:p>
    <w:p w:rsidR="003C62B9" w:rsidRPr="001E7ABF" w:rsidRDefault="005370F0" w:rsidP="003C62B9">
      <w:pPr>
        <w:pStyle w:val="Nessunaspaziatura"/>
        <w:ind w:left="567"/>
        <w:rPr>
          <w:szCs w:val="24"/>
        </w:rPr>
      </w:pPr>
      <m:oMath>
        <m:sSub>
          <m:sSubPr>
            <m:ctrlPr>
              <w:rPr>
                <w:rFonts w:ascii="Cambria Math" w:hAnsi="Cambria Math"/>
                <w:i/>
                <w:szCs w:val="24"/>
              </w:rPr>
            </m:ctrlPr>
          </m:sSubPr>
          <m:e>
            <m:r>
              <w:rPr>
                <w:rFonts w:ascii="Cambria Math" w:hAnsi="Cambria Math"/>
                <w:szCs w:val="24"/>
              </w:rPr>
              <m:t>E</m:t>
            </m:r>
          </m:e>
          <m:sub>
            <m:r>
              <w:rPr>
                <w:rFonts w:ascii="Cambria Math" w:hAnsi="Cambria Math"/>
                <w:szCs w:val="24"/>
              </w:rPr>
              <m:t>tot consumata ITA</m:t>
            </m:r>
          </m:sub>
        </m:sSub>
      </m:oMath>
      <w:r w:rsidR="003C62B9" w:rsidRPr="001E7ABF">
        <w:rPr>
          <w:szCs w:val="24"/>
        </w:rPr>
        <w:fldChar w:fldCharType="begin"/>
      </w:r>
      <w:r w:rsidR="003C62B9" w:rsidRPr="001E7ABF">
        <w:rPr>
          <w:szCs w:val="24"/>
        </w:rPr>
        <w:instrText xml:space="preserve"> QUOTE </w:instrText>
      </w:r>
      <w:r w:rsidR="003C62B9" w:rsidRPr="001E7ABF">
        <w:rPr>
          <w:noProof/>
        </w:rPr>
        <w:drawing>
          <wp:inline distT="0" distB="0" distL="0" distR="0" wp14:anchorId="78011309" wp14:editId="5C444A49">
            <wp:extent cx="1173480" cy="155575"/>
            <wp:effectExtent l="0" t="0" r="762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3480" cy="155575"/>
                    </a:xfrm>
                    <a:prstGeom prst="rect">
                      <a:avLst/>
                    </a:prstGeom>
                    <a:noFill/>
                    <a:ln>
                      <a:noFill/>
                    </a:ln>
                  </pic:spPr>
                </pic:pic>
              </a:graphicData>
            </a:graphic>
          </wp:inline>
        </w:drawing>
      </w:r>
      <w:r w:rsidR="003C62B9" w:rsidRPr="001E7ABF">
        <w:rPr>
          <w:szCs w:val="24"/>
        </w:rPr>
        <w:instrText xml:space="preserve"> </w:instrText>
      </w:r>
      <w:r w:rsidR="003C62B9" w:rsidRPr="001E7ABF">
        <w:rPr>
          <w:szCs w:val="24"/>
        </w:rPr>
        <w:fldChar w:fldCharType="end"/>
      </w:r>
      <w:r w:rsidR="003C62B9" w:rsidRPr="001E7ABF">
        <w:rPr>
          <w:szCs w:val="24"/>
        </w:rPr>
        <w:t>: rappresenta il totale dei consumi di energia elettrica in Italia.</w:t>
      </w:r>
    </w:p>
    <w:p w:rsidR="003C62B9" w:rsidRPr="001E7ABF" w:rsidRDefault="003C62B9" w:rsidP="003C62B9">
      <w:pPr>
        <w:pStyle w:val="Nessunaspaziatura"/>
        <w:spacing w:before="240"/>
        <w:rPr>
          <w:szCs w:val="24"/>
        </w:rPr>
      </w:pPr>
      <w:r w:rsidRPr="001E7ABF">
        <w:rPr>
          <w:szCs w:val="24"/>
        </w:rPr>
        <w:t xml:space="preserve">4. Trenta giorni prima dell’indizione di ciascuna procedura d’asta, il GSE verifica la sussistenza delle condizioni di cui al comma 2, lettere a) e b), e in caso positivo: </w:t>
      </w:r>
    </w:p>
    <w:p w:rsidR="003C62B9" w:rsidRPr="001E7ABF" w:rsidRDefault="003C62B9" w:rsidP="00FC5D36">
      <w:pPr>
        <w:pStyle w:val="Nessunaspaziatura"/>
        <w:numPr>
          <w:ilvl w:val="0"/>
          <w:numId w:val="13"/>
        </w:numPr>
        <w:spacing w:before="240"/>
        <w:ind w:left="426"/>
        <w:rPr>
          <w:szCs w:val="24"/>
        </w:rPr>
      </w:pPr>
      <w:r w:rsidRPr="001E7ABF">
        <w:rPr>
          <w:szCs w:val="24"/>
        </w:rPr>
        <w:t>rende nota la potenza resa disponibile ai sensi del comma 3, facendo riferimento agli ultimi dati resi disponibili da EUROSTAT;</w:t>
      </w:r>
    </w:p>
    <w:p w:rsidR="003C62B9" w:rsidRDefault="003C62B9" w:rsidP="00FF03FF">
      <w:pPr>
        <w:pStyle w:val="Nessunaspaziatura"/>
        <w:numPr>
          <w:ilvl w:val="0"/>
          <w:numId w:val="13"/>
        </w:numPr>
        <w:spacing w:after="240"/>
        <w:ind w:left="426"/>
        <w:rPr>
          <w:szCs w:val="24"/>
        </w:rPr>
      </w:pPr>
      <w:r w:rsidRPr="001E7ABF">
        <w:rPr>
          <w:szCs w:val="24"/>
        </w:rPr>
        <w:t xml:space="preserve">inserisce le richieste di accesso agli incentivi provenienti dagli impianti di cui al comma 1 nelle graduatorie formate ai sensi dell’articolo </w:t>
      </w:r>
      <w:r w:rsidR="00B26F17">
        <w:rPr>
          <w:szCs w:val="24"/>
        </w:rPr>
        <w:t>5</w:t>
      </w:r>
      <w:r w:rsidRPr="001E7ABF">
        <w:rPr>
          <w:szCs w:val="24"/>
        </w:rPr>
        <w:t>, nel limite del valore</w:t>
      </w:r>
      <w:r w:rsidR="00556D34">
        <w:rPr>
          <w:szCs w:val="24"/>
        </w:rPr>
        <w:t xml:space="preserve">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UE</m:t>
            </m:r>
          </m:sub>
        </m:sSub>
      </m:oMath>
      <w:r w:rsidRPr="001E7ABF">
        <w:rPr>
          <w:szCs w:val="24"/>
        </w:rPr>
        <w:t xml:space="preserve"> </w:t>
      </w:r>
      <w:r w:rsidRPr="001E7ABF">
        <w:rPr>
          <w:szCs w:val="24"/>
        </w:rPr>
        <w:fldChar w:fldCharType="begin"/>
      </w:r>
      <w:r w:rsidRPr="001E7ABF">
        <w:rPr>
          <w:szCs w:val="24"/>
        </w:rPr>
        <w:instrText xml:space="preserve"> QUOTE </w:instrText>
      </w:r>
      <w:r w:rsidRPr="001E7ABF">
        <w:rPr>
          <w:noProof/>
        </w:rPr>
        <w:drawing>
          <wp:inline distT="0" distB="0" distL="0" distR="0" wp14:anchorId="42E2C2D6" wp14:editId="1059704D">
            <wp:extent cx="284480" cy="146685"/>
            <wp:effectExtent l="0" t="0" r="1270" b="571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4480" cy="146685"/>
                    </a:xfrm>
                    <a:prstGeom prst="rect">
                      <a:avLst/>
                    </a:prstGeom>
                    <a:noFill/>
                    <a:ln>
                      <a:noFill/>
                    </a:ln>
                  </pic:spPr>
                </pic:pic>
              </a:graphicData>
            </a:graphic>
          </wp:inline>
        </w:drawing>
      </w:r>
      <w:r w:rsidRPr="001E7ABF">
        <w:rPr>
          <w:szCs w:val="24"/>
        </w:rPr>
        <w:instrText xml:space="preserve"> </w:instrText>
      </w:r>
      <w:r w:rsidRPr="001E7ABF">
        <w:rPr>
          <w:szCs w:val="24"/>
        </w:rPr>
        <w:fldChar w:fldCharType="end"/>
      </w:r>
      <w:r w:rsidR="00814E9F">
        <w:rPr>
          <w:szCs w:val="24"/>
        </w:rPr>
        <w:t>secondo le modalità stabilite dal presente decreto</w:t>
      </w:r>
      <w:r w:rsidRPr="001E7ABF">
        <w:rPr>
          <w:szCs w:val="24"/>
        </w:rPr>
        <w:t>.</w:t>
      </w:r>
    </w:p>
    <w:p w:rsidR="009759E2" w:rsidRPr="00F3067C" w:rsidRDefault="009759E2" w:rsidP="00F3067C">
      <w:pPr>
        <w:pStyle w:val="Sottotitolo"/>
        <w:spacing w:before="360" w:after="360"/>
        <w:jc w:val="center"/>
        <w:outlineLvl w:val="1"/>
        <w:rPr>
          <w:b w:val="0"/>
          <w:bCs/>
          <w:i/>
        </w:rPr>
      </w:pPr>
      <w:r w:rsidRPr="00F3067C">
        <w:t>Art</w:t>
      </w:r>
      <w:r w:rsidRPr="00C726E9">
        <w:rPr>
          <w:iCs/>
          <w:szCs w:val="24"/>
        </w:rPr>
        <w:t xml:space="preserve">. </w:t>
      </w:r>
      <w:r w:rsidR="00B26F17">
        <w:rPr>
          <w:iCs/>
          <w:szCs w:val="24"/>
        </w:rPr>
        <w:t>1</w:t>
      </w:r>
      <w:r w:rsidR="00CE28A1">
        <w:rPr>
          <w:iCs/>
          <w:szCs w:val="24"/>
        </w:rPr>
        <w:t>2</w:t>
      </w:r>
      <w:r w:rsidR="003C62B9">
        <w:rPr>
          <w:iCs/>
          <w:szCs w:val="24"/>
        </w:rPr>
        <w:br/>
      </w:r>
      <w:r w:rsidRPr="00F3067C">
        <w:rPr>
          <w:b w:val="0"/>
          <w:bCs/>
          <w:i/>
        </w:rPr>
        <w:t>(Cumulabilità di incentivi)</w:t>
      </w:r>
    </w:p>
    <w:p w:rsidR="001D2D56" w:rsidRDefault="009759E2" w:rsidP="009759E2">
      <w:pPr>
        <w:rPr>
          <w:szCs w:val="24"/>
        </w:rPr>
      </w:pPr>
      <w:r w:rsidRPr="00522DB7">
        <w:rPr>
          <w:szCs w:val="24"/>
        </w:rPr>
        <w:t xml:space="preserve">1. </w:t>
      </w:r>
      <w:r w:rsidR="00123527">
        <w:rPr>
          <w:szCs w:val="24"/>
        </w:rPr>
        <w:t>Gli incentivi</w:t>
      </w:r>
      <w:r w:rsidRPr="00522DB7">
        <w:rPr>
          <w:szCs w:val="24"/>
        </w:rPr>
        <w:t xml:space="preserve"> di cui al presente decreto sono cumulabili </w:t>
      </w:r>
      <w:r w:rsidR="00AC618B">
        <w:rPr>
          <w:szCs w:val="24"/>
        </w:rPr>
        <w:t xml:space="preserve">esclusivamente </w:t>
      </w:r>
      <w:r w:rsidRPr="00522DB7">
        <w:rPr>
          <w:szCs w:val="24"/>
        </w:rPr>
        <w:t xml:space="preserve">con </w:t>
      </w:r>
      <w:r w:rsidR="0083166A">
        <w:rPr>
          <w:szCs w:val="24"/>
        </w:rPr>
        <w:t xml:space="preserve">i </w:t>
      </w:r>
      <w:r w:rsidR="00AC618B">
        <w:rPr>
          <w:szCs w:val="24"/>
        </w:rPr>
        <w:t xml:space="preserve">meccanismi di </w:t>
      </w:r>
      <w:r w:rsidR="00123527">
        <w:rPr>
          <w:szCs w:val="24"/>
        </w:rPr>
        <w:t>aiut</w:t>
      </w:r>
      <w:r w:rsidR="0083166A">
        <w:rPr>
          <w:szCs w:val="24"/>
        </w:rPr>
        <w:t>o</w:t>
      </w:r>
      <w:r w:rsidR="00123527">
        <w:rPr>
          <w:szCs w:val="24"/>
        </w:rPr>
        <w:t xml:space="preserve"> </w:t>
      </w:r>
      <w:r w:rsidR="00AC618B">
        <w:rPr>
          <w:szCs w:val="24"/>
        </w:rPr>
        <w:t>rientranti fra le seguenti categorie</w:t>
      </w:r>
      <w:r w:rsidR="001D2D56">
        <w:rPr>
          <w:szCs w:val="24"/>
        </w:rPr>
        <w:t>:</w:t>
      </w:r>
    </w:p>
    <w:p w:rsidR="00AC618B" w:rsidRPr="00F3067C" w:rsidRDefault="00D45440" w:rsidP="00FC5D36">
      <w:pPr>
        <w:pStyle w:val="Paragrafoelenco"/>
        <w:numPr>
          <w:ilvl w:val="1"/>
          <w:numId w:val="41"/>
        </w:numPr>
        <w:spacing w:before="240"/>
        <w:ind w:left="426"/>
        <w:rPr>
          <w:szCs w:val="24"/>
        </w:rPr>
      </w:pPr>
      <w:r>
        <w:rPr>
          <w:szCs w:val="24"/>
        </w:rPr>
        <w:t>contributi</w:t>
      </w:r>
      <w:r w:rsidR="008F4EF3" w:rsidRPr="00F3067C">
        <w:rPr>
          <w:szCs w:val="24"/>
        </w:rPr>
        <w:t xml:space="preserve"> </w:t>
      </w:r>
      <w:r w:rsidR="00424AF4">
        <w:rPr>
          <w:szCs w:val="24"/>
        </w:rPr>
        <w:t>in conto capitale</w:t>
      </w:r>
      <w:r w:rsidR="00AC618B" w:rsidRPr="00F3067C">
        <w:rPr>
          <w:szCs w:val="24"/>
        </w:rPr>
        <w:t xml:space="preserve"> non eccedenti il 40 per cento del costo dell'investimento;</w:t>
      </w:r>
    </w:p>
    <w:p w:rsidR="00976DCF" w:rsidRPr="00A5309C" w:rsidRDefault="00976DCF" w:rsidP="00FF03FF">
      <w:pPr>
        <w:pStyle w:val="Paragrafoelenco"/>
        <w:numPr>
          <w:ilvl w:val="1"/>
          <w:numId w:val="41"/>
        </w:numPr>
        <w:ind w:left="426"/>
        <w:rPr>
          <w:szCs w:val="24"/>
        </w:rPr>
      </w:pPr>
      <w:r w:rsidRPr="00665976">
        <w:rPr>
          <w:szCs w:val="24"/>
        </w:rPr>
        <w:t>contributi</w:t>
      </w:r>
      <w:r w:rsidR="00F80B16">
        <w:rPr>
          <w:szCs w:val="24"/>
        </w:rPr>
        <w:t xml:space="preserve"> </w:t>
      </w:r>
      <w:r w:rsidRPr="00665976">
        <w:rPr>
          <w:szCs w:val="24"/>
        </w:rPr>
        <w:t xml:space="preserve">previsti dall’attuazione della Misura Investimento 1.3 </w:t>
      </w:r>
      <w:r w:rsidR="00571469">
        <w:rPr>
          <w:szCs w:val="24"/>
        </w:rPr>
        <w:t>“</w:t>
      </w:r>
      <w:r w:rsidRPr="00665976">
        <w:rPr>
          <w:bCs/>
          <w:szCs w:val="24"/>
        </w:rPr>
        <w:t xml:space="preserve">Promozione di sistemi innovativi (incluso </w:t>
      </w:r>
      <w:r w:rsidRPr="00665976">
        <w:rPr>
          <w:bCs/>
          <w:i/>
          <w:szCs w:val="24"/>
        </w:rPr>
        <w:t>off-shore</w:t>
      </w:r>
      <w:r w:rsidRPr="00665976">
        <w:rPr>
          <w:bCs/>
          <w:szCs w:val="24"/>
        </w:rPr>
        <w:t>)”</w:t>
      </w:r>
      <w:r w:rsidR="00540B25" w:rsidRPr="00665976">
        <w:rPr>
          <w:bCs/>
          <w:szCs w:val="24"/>
        </w:rPr>
        <w:t xml:space="preserve"> </w:t>
      </w:r>
      <w:r w:rsidR="00571469">
        <w:rPr>
          <w:bCs/>
          <w:szCs w:val="24"/>
        </w:rPr>
        <w:t xml:space="preserve">appartenete alla Missione2, Componente 2 </w:t>
      </w:r>
      <w:r w:rsidR="00540B25" w:rsidRPr="00665976">
        <w:rPr>
          <w:bCs/>
          <w:szCs w:val="24"/>
        </w:rPr>
        <w:t>del Piano Nazionale di Ripresa e Resilienza</w:t>
      </w:r>
      <w:r w:rsidRPr="00665976">
        <w:rPr>
          <w:szCs w:val="24"/>
        </w:rPr>
        <w:t xml:space="preserve"> e nell’ambito degli interventi a favore dello sviluppo tecnologico e industriale di cui all’articolo 12 del decreto legislativo </w:t>
      </w:r>
      <w:r w:rsidR="00D44617" w:rsidRPr="00665976">
        <w:rPr>
          <w:szCs w:val="24"/>
        </w:rPr>
        <w:t>n. 199</w:t>
      </w:r>
      <w:r w:rsidRPr="00665976">
        <w:rPr>
          <w:szCs w:val="24"/>
        </w:rPr>
        <w:t xml:space="preserve"> del 2021;</w:t>
      </w:r>
    </w:p>
    <w:p w:rsidR="00C92F87" w:rsidRDefault="00EB565C" w:rsidP="00C92F87">
      <w:pPr>
        <w:pStyle w:val="Paragrafoelenco"/>
        <w:numPr>
          <w:ilvl w:val="1"/>
          <w:numId w:val="41"/>
        </w:numPr>
        <w:ind w:left="426"/>
        <w:rPr>
          <w:szCs w:val="24"/>
        </w:rPr>
      </w:pPr>
      <w:r w:rsidRPr="00C92F87">
        <w:rPr>
          <w:szCs w:val="24"/>
        </w:rPr>
        <w:t>fondi di garanzia e fondi di rotazione;</w:t>
      </w:r>
    </w:p>
    <w:p w:rsidR="00AC618B" w:rsidRPr="00C92F87" w:rsidRDefault="000A2CE8" w:rsidP="00C92F87">
      <w:pPr>
        <w:pStyle w:val="Paragrafoelenco"/>
        <w:numPr>
          <w:ilvl w:val="1"/>
          <w:numId w:val="41"/>
        </w:numPr>
        <w:ind w:left="426"/>
        <w:rPr>
          <w:szCs w:val="24"/>
        </w:rPr>
      </w:pPr>
      <w:r w:rsidRPr="000A2CE8">
        <w:rPr>
          <w:szCs w:val="24"/>
        </w:rPr>
        <w:t xml:space="preserve">agevolazioni fiscali nella forma di credito di imposta </w:t>
      </w:r>
      <w:r>
        <w:rPr>
          <w:szCs w:val="24"/>
        </w:rPr>
        <w:t xml:space="preserve">o di </w:t>
      </w:r>
      <w:r w:rsidR="00AC618B" w:rsidRPr="00C92F87">
        <w:rPr>
          <w:szCs w:val="24"/>
        </w:rPr>
        <w:t>detassazione dal reddito di impresa degli investimenti in macchinari e apparecchiature</w:t>
      </w:r>
      <w:r w:rsidR="00976DCF" w:rsidRPr="00C92F87">
        <w:rPr>
          <w:szCs w:val="24"/>
        </w:rPr>
        <w:t>.</w:t>
      </w:r>
    </w:p>
    <w:p w:rsidR="00EA4DBD" w:rsidRDefault="00B61CDD" w:rsidP="00F3067C">
      <w:pPr>
        <w:spacing w:before="240"/>
        <w:rPr>
          <w:szCs w:val="24"/>
        </w:rPr>
      </w:pPr>
      <w:r>
        <w:rPr>
          <w:szCs w:val="24"/>
        </w:rPr>
        <w:lastRenderedPageBreak/>
        <w:t>2. Nei</w:t>
      </w:r>
      <w:r w:rsidR="00EA4DBD">
        <w:rPr>
          <w:szCs w:val="24"/>
        </w:rPr>
        <w:t xml:space="preserve"> casi di cui al comma 1, la tariffa spettante è rimodulata </w:t>
      </w:r>
      <w:r w:rsidR="003715A1">
        <w:rPr>
          <w:szCs w:val="24"/>
        </w:rPr>
        <w:t>secondo le modalità indicate</w:t>
      </w:r>
      <w:r w:rsidR="00A5316E">
        <w:rPr>
          <w:szCs w:val="24"/>
        </w:rPr>
        <w:t xml:space="preserve"> nell’A</w:t>
      </w:r>
      <w:r>
        <w:rPr>
          <w:szCs w:val="24"/>
        </w:rPr>
        <w:t xml:space="preserve">llegato </w:t>
      </w:r>
      <w:r w:rsidR="003715A1">
        <w:rPr>
          <w:szCs w:val="24"/>
        </w:rPr>
        <w:t>1</w:t>
      </w:r>
      <w:r w:rsidR="00EA4DBD">
        <w:rPr>
          <w:szCs w:val="24"/>
        </w:rPr>
        <w:t xml:space="preserve">. </w:t>
      </w:r>
    </w:p>
    <w:p w:rsidR="00797ECB" w:rsidRPr="001E7ABF" w:rsidRDefault="00797ECB" w:rsidP="00797ECB">
      <w:pPr>
        <w:pStyle w:val="Sottotitolo"/>
        <w:spacing w:before="360" w:after="360"/>
        <w:jc w:val="center"/>
        <w:outlineLvl w:val="1"/>
        <w:rPr>
          <w:i/>
        </w:rPr>
      </w:pPr>
      <w:r w:rsidRPr="001E7ABF">
        <w:rPr>
          <w:szCs w:val="24"/>
        </w:rPr>
        <w:t xml:space="preserve">Art. </w:t>
      </w:r>
      <w:r>
        <w:rPr>
          <w:szCs w:val="24"/>
        </w:rPr>
        <w:t>13</w:t>
      </w:r>
      <w:r w:rsidRPr="003A1739">
        <w:br/>
      </w:r>
      <w:r w:rsidRPr="00F3067C">
        <w:rPr>
          <w:b w:val="0"/>
          <w:bCs/>
          <w:i/>
        </w:rPr>
        <w:t>(</w:t>
      </w:r>
      <w:r>
        <w:rPr>
          <w:b w:val="0"/>
          <w:bCs/>
          <w:i/>
        </w:rPr>
        <w:t>Monitoraggio</w:t>
      </w:r>
      <w:r w:rsidRPr="00F3067C">
        <w:rPr>
          <w:b w:val="0"/>
          <w:bCs/>
          <w:i/>
        </w:rPr>
        <w:t>)</w:t>
      </w:r>
    </w:p>
    <w:p w:rsidR="00C56165" w:rsidRDefault="00797ECB" w:rsidP="00993FB6">
      <w:pPr>
        <w:suppressAutoHyphens w:val="0"/>
        <w:overflowPunct/>
        <w:autoSpaceDE/>
        <w:autoSpaceDN/>
        <w:adjustRightInd/>
        <w:spacing w:before="240" w:after="240" w:line="259" w:lineRule="auto"/>
        <w:textAlignment w:val="auto"/>
      </w:pPr>
      <w:r>
        <w:rPr>
          <w:color w:val="000000"/>
          <w:szCs w:val="24"/>
        </w:rPr>
        <w:t>1. Il GSE svolge le attività di monitoraggio previste dall’articolo 48 del decreto legislativo 199 del 2021, dando evidenza degli effetti derivanti dall’attuazione del presente decreto, con particolare riguardo ai costi delle tecnologie e delle materie prime riscontrabili sul mercato.</w:t>
      </w:r>
      <w:r>
        <w:t xml:space="preserve"> </w:t>
      </w:r>
    </w:p>
    <w:p w:rsidR="0073481E" w:rsidRDefault="00C56165" w:rsidP="00665976">
      <w:pPr>
        <w:suppressAutoHyphens w:val="0"/>
        <w:overflowPunct/>
        <w:autoSpaceDE/>
        <w:autoSpaceDN/>
        <w:adjustRightInd/>
        <w:spacing w:before="240" w:after="240" w:line="259" w:lineRule="auto"/>
        <w:textAlignment w:val="auto"/>
      </w:pPr>
      <w:r>
        <w:t xml:space="preserve">2. </w:t>
      </w:r>
      <w:r w:rsidR="00EE0EBC">
        <w:t xml:space="preserve">Decorsi </w:t>
      </w:r>
      <w:r w:rsidR="00736F2B">
        <w:t>tre</w:t>
      </w:r>
      <w:r w:rsidR="00267669">
        <w:t xml:space="preserve"> anni dalla data di entrata in vigore del presente decreto, </w:t>
      </w:r>
      <w:r w:rsidR="00993FB6">
        <w:t xml:space="preserve">nel caso </w:t>
      </w:r>
      <w:r w:rsidR="00BB1753">
        <w:t xml:space="preserve">in cui </w:t>
      </w:r>
      <w:r>
        <w:t>dal</w:t>
      </w:r>
      <w:r w:rsidR="00E86CD4">
        <w:t>l</w:t>
      </w:r>
      <w:r>
        <w:t>’an</w:t>
      </w:r>
      <w:r w:rsidR="00E86CD4">
        <w:t xml:space="preserve">alisi di cui al comma 2 </w:t>
      </w:r>
      <w:r w:rsidR="00993FB6">
        <w:t>emergano variazioni rilevanti</w:t>
      </w:r>
      <w:r w:rsidR="00797ECB">
        <w:t xml:space="preserve">, </w:t>
      </w:r>
      <w:r w:rsidR="00046BE1">
        <w:t xml:space="preserve">si applica quanto disposto dall’articolo </w:t>
      </w:r>
      <w:r w:rsidR="001E04D1">
        <w:t xml:space="preserve">6, comma 1, lettera f) </w:t>
      </w:r>
      <w:r w:rsidR="00024D18">
        <w:t>e dall’artic</w:t>
      </w:r>
      <w:r w:rsidR="00BB1753">
        <w:t xml:space="preserve">olo 7, comma 1, lettera c) </w:t>
      </w:r>
      <w:r w:rsidR="001E04D1">
        <w:t>del decreto legislativo n. 199 del 202</w:t>
      </w:r>
      <w:r w:rsidR="00024D18">
        <w:t>1</w:t>
      </w:r>
      <w:r w:rsidR="00E168E2">
        <w:t>.</w:t>
      </w:r>
    </w:p>
    <w:p w:rsidR="00797ECB" w:rsidRDefault="007115FC" w:rsidP="00982C9E">
      <w:pPr>
        <w:pStyle w:val="Nessunaspaziatura"/>
        <w:spacing w:before="240"/>
      </w:pPr>
      <w:r w:rsidRPr="00983911">
        <w:t xml:space="preserve">3. </w:t>
      </w:r>
      <w:r w:rsidR="00DE577B" w:rsidRPr="00983911">
        <w:t>L’attività di monitoraggio di cui al comma 1 è finalizzata anche a fornire elementi utili per la redazione del “Piano di valu</w:t>
      </w:r>
      <w:r w:rsidR="001A14EE" w:rsidRPr="00983911">
        <w:t>t</w:t>
      </w:r>
      <w:r w:rsidR="00DE577B" w:rsidRPr="00983911">
        <w:t xml:space="preserve">azione </w:t>
      </w:r>
      <w:r w:rsidR="00DE577B" w:rsidRPr="00983911">
        <w:rPr>
          <w:i/>
          <w:iCs/>
        </w:rPr>
        <w:t>ex post</w:t>
      </w:r>
      <w:r w:rsidR="00DE577B" w:rsidRPr="00983911">
        <w:t>”, previsto da</w:t>
      </w:r>
      <w:r w:rsidR="002960B9" w:rsidRPr="00983911">
        <w:t>l paragrafo 5 delle</w:t>
      </w:r>
      <w:r w:rsidR="00DE577B" w:rsidRPr="00983911">
        <w:t xml:space="preserve"> </w:t>
      </w:r>
      <w:r w:rsidR="00FC0CD0" w:rsidRPr="00983911">
        <w:t>EEAG</w:t>
      </w:r>
      <w:r w:rsidR="005167FC" w:rsidRPr="00983911">
        <w:t xml:space="preserve"> XXXX</w:t>
      </w:r>
      <w:r w:rsidR="001A14EE" w:rsidRPr="00983911">
        <w:t>.</w:t>
      </w:r>
      <w:r w:rsidR="001A14EE">
        <w:t xml:space="preserve"> </w:t>
      </w:r>
    </w:p>
    <w:p w:rsidR="001A14EE" w:rsidRDefault="001A14EE" w:rsidP="00982C9E">
      <w:pPr>
        <w:pStyle w:val="Nessunaspaziatura"/>
        <w:spacing w:before="240"/>
      </w:pPr>
      <w:r>
        <w:t xml:space="preserve">4. I beneficiari degli incentivi di cui al presente decreto sono tenuti a fornire tutti gli elementi </w:t>
      </w:r>
      <w:r w:rsidR="009F1835">
        <w:t xml:space="preserve">richiesti </w:t>
      </w:r>
      <w:r w:rsidR="002D2186">
        <w:t>ai fini dello svolgimento delle attività di</w:t>
      </w:r>
      <w:r w:rsidR="00510467">
        <w:t xml:space="preserve"> valutazione e monitoraggio</w:t>
      </w:r>
      <w:r w:rsidR="002D2186">
        <w:t xml:space="preserve"> </w:t>
      </w:r>
      <w:r w:rsidR="00A5316E">
        <w:t xml:space="preserve">di </w:t>
      </w:r>
      <w:r w:rsidR="002D2186">
        <w:t xml:space="preserve">cui ai precedenti commi, </w:t>
      </w:r>
      <w:r w:rsidR="002D2186" w:rsidRPr="00A5309C">
        <w:t xml:space="preserve">pena la </w:t>
      </w:r>
      <w:r w:rsidR="00983BFF" w:rsidRPr="00665976">
        <w:t>sospensione dell’erogazione</w:t>
      </w:r>
      <w:r w:rsidR="002D2186" w:rsidRPr="00A5309C">
        <w:t xml:space="preserve"> d</w:t>
      </w:r>
      <w:r w:rsidR="00983BFF" w:rsidRPr="00665976">
        <w:t>e</w:t>
      </w:r>
      <w:r w:rsidR="002D2186" w:rsidRPr="00A5309C">
        <w:t>gli incentivi</w:t>
      </w:r>
      <w:r w:rsidR="00983355" w:rsidRPr="00665976">
        <w:t xml:space="preserve"> fino alla trasmissione</w:t>
      </w:r>
      <w:r w:rsidR="00184F08">
        <w:t xml:space="preserve"> </w:t>
      </w:r>
      <w:r w:rsidR="008B4BF9">
        <w:t>completa</w:t>
      </w:r>
      <w:r w:rsidR="00983355" w:rsidRPr="00665976">
        <w:t xml:space="preserve"> dei dati</w:t>
      </w:r>
      <w:r w:rsidR="00F94235">
        <w:t xml:space="preserve"> richiesti</w:t>
      </w:r>
      <w:r w:rsidR="002D2186" w:rsidRPr="00A5309C">
        <w:t>.</w:t>
      </w:r>
      <w:r w:rsidR="002D2186">
        <w:t xml:space="preserve"> </w:t>
      </w:r>
    </w:p>
    <w:p w:rsidR="00A22384" w:rsidRPr="001E7ABF" w:rsidRDefault="009A0512" w:rsidP="00F3067C">
      <w:pPr>
        <w:pStyle w:val="Sottotitolo"/>
        <w:spacing w:before="360" w:after="360"/>
        <w:jc w:val="center"/>
        <w:outlineLvl w:val="1"/>
        <w:rPr>
          <w:i/>
        </w:rPr>
      </w:pPr>
      <w:bookmarkStart w:id="13" w:name="_Toc8978950"/>
      <w:r w:rsidRPr="001E7ABF">
        <w:rPr>
          <w:szCs w:val="24"/>
        </w:rPr>
        <w:t xml:space="preserve">Art. </w:t>
      </w:r>
      <w:bookmarkEnd w:id="13"/>
      <w:r w:rsidR="00B26F17">
        <w:rPr>
          <w:szCs w:val="24"/>
        </w:rPr>
        <w:t>1</w:t>
      </w:r>
      <w:r w:rsidR="00797ECB">
        <w:rPr>
          <w:szCs w:val="24"/>
        </w:rPr>
        <w:t>4</w:t>
      </w:r>
      <w:r w:rsidR="00B9152D" w:rsidRPr="003A1739">
        <w:br/>
      </w:r>
      <w:bookmarkStart w:id="14" w:name="_Toc8978951"/>
      <w:r w:rsidR="00A22384" w:rsidRPr="00F3067C">
        <w:rPr>
          <w:b w:val="0"/>
          <w:bCs/>
          <w:i/>
        </w:rPr>
        <w:t>(Disposizioni finali)</w:t>
      </w:r>
      <w:bookmarkEnd w:id="14"/>
    </w:p>
    <w:p w:rsidR="0075469A" w:rsidRPr="00C726E9" w:rsidRDefault="003D1610" w:rsidP="00F3067C">
      <w:pPr>
        <w:spacing w:before="240" w:after="240"/>
        <w:rPr>
          <w:szCs w:val="24"/>
        </w:rPr>
      </w:pPr>
      <w:r>
        <w:rPr>
          <w:szCs w:val="24"/>
        </w:rPr>
        <w:t>1</w:t>
      </w:r>
      <w:r w:rsidR="0075469A" w:rsidRPr="00B2229F">
        <w:rPr>
          <w:szCs w:val="24"/>
        </w:rPr>
        <w:t>.</w:t>
      </w:r>
      <w:r w:rsidR="0075469A" w:rsidRPr="0075469A">
        <w:rPr>
          <w:sz w:val="14"/>
          <w:szCs w:val="14"/>
        </w:rPr>
        <w:t xml:space="preserve"> </w:t>
      </w:r>
      <w:r w:rsidR="0075469A" w:rsidRPr="00C726E9">
        <w:rPr>
          <w:szCs w:val="24"/>
        </w:rPr>
        <w:t>L</w:t>
      </w:r>
      <w:r w:rsidR="00A5316E">
        <w:rPr>
          <w:szCs w:val="24"/>
        </w:rPr>
        <w:t>’</w:t>
      </w:r>
      <w:r w:rsidR="0075469A" w:rsidRPr="00C726E9">
        <w:rPr>
          <w:szCs w:val="24"/>
        </w:rPr>
        <w:t>A</w:t>
      </w:r>
      <w:r w:rsidR="00C1244D">
        <w:rPr>
          <w:szCs w:val="24"/>
        </w:rPr>
        <w:t>RERA</w:t>
      </w:r>
      <w:r w:rsidR="0075469A" w:rsidRPr="00C726E9">
        <w:rPr>
          <w:szCs w:val="24"/>
        </w:rPr>
        <w:t xml:space="preserve"> definisce le modalità con le quali trovano copertura sulle componenti tariffarie dell’energia elettrica le risorse necessarie per l’erogazione degli incentivi di cui al presente decreto, assicurando l'equilibrio economico del bilancio del GSE. </w:t>
      </w:r>
    </w:p>
    <w:p w:rsidR="00C2690E" w:rsidRDefault="0046239F" w:rsidP="00ED697E">
      <w:pPr>
        <w:pStyle w:val="Nessunaspaziatura"/>
        <w:spacing w:before="240"/>
        <w:rPr>
          <w:szCs w:val="24"/>
        </w:rPr>
      </w:pPr>
      <w:r>
        <w:rPr>
          <w:szCs w:val="24"/>
        </w:rPr>
        <w:t>2</w:t>
      </w:r>
      <w:r w:rsidR="00ED697E" w:rsidRPr="001E7ABF">
        <w:rPr>
          <w:szCs w:val="24"/>
        </w:rPr>
        <w:t xml:space="preserve">. </w:t>
      </w:r>
      <w:r w:rsidR="00C2690E" w:rsidRPr="001E7ABF">
        <w:rPr>
          <w:szCs w:val="24"/>
        </w:rPr>
        <w:t>Il presente decreto, di cui gli allegati sono parte integrante, entra in vigore il giorno successivo alla data di pubblicazione nella Gazzetta Ufficiale della Repubblica italiana.</w:t>
      </w:r>
    </w:p>
    <w:p w:rsidR="0012327A" w:rsidRDefault="007A3CB0" w:rsidP="00F85981">
      <w:pPr>
        <w:pStyle w:val="Nessunaspaziatura"/>
        <w:spacing w:before="840"/>
        <w:ind w:left="5664" w:firstLine="708"/>
        <w:jc w:val="center"/>
        <w:rPr>
          <w:szCs w:val="24"/>
        </w:rPr>
      </w:pPr>
      <w:r>
        <w:rPr>
          <w:szCs w:val="24"/>
        </w:rPr>
        <w:t>Roberto Cingolani</w:t>
      </w:r>
    </w:p>
    <w:p w:rsidR="00E02244" w:rsidRDefault="00E02244" w:rsidP="007A3CB0">
      <w:pPr>
        <w:pStyle w:val="Nessunaspaziatura"/>
        <w:spacing w:before="600"/>
        <w:jc w:val="left"/>
        <w:rPr>
          <w:szCs w:val="24"/>
        </w:rPr>
      </w:pPr>
    </w:p>
    <w:p w:rsidR="00E02244" w:rsidRDefault="00E02244" w:rsidP="007A3CB0">
      <w:pPr>
        <w:pStyle w:val="Nessunaspaziatura"/>
        <w:spacing w:before="600"/>
        <w:jc w:val="left"/>
        <w:rPr>
          <w:szCs w:val="24"/>
        </w:rPr>
      </w:pPr>
    </w:p>
    <w:p w:rsidR="00C72660" w:rsidRPr="001E7ABF" w:rsidRDefault="00C506EF" w:rsidP="007A3CB0">
      <w:pPr>
        <w:pStyle w:val="Nessunaspaziatura"/>
        <w:spacing w:before="600"/>
        <w:jc w:val="left"/>
        <w:rPr>
          <w:szCs w:val="24"/>
        </w:rPr>
      </w:pPr>
      <w:r w:rsidRPr="001E7ABF">
        <w:rPr>
          <w:szCs w:val="24"/>
        </w:rPr>
        <w:t>IL MINISTRO DELLE POLITICHE AGRICOLE</w:t>
      </w:r>
      <w:r w:rsidR="00D55086" w:rsidRPr="001E7ABF">
        <w:rPr>
          <w:szCs w:val="24"/>
        </w:rPr>
        <w:t xml:space="preserve"> </w:t>
      </w:r>
      <w:r w:rsidRPr="001E7ABF">
        <w:rPr>
          <w:szCs w:val="24"/>
        </w:rPr>
        <w:t>ALIMENTARI E FORESTALI</w:t>
      </w:r>
      <w:r w:rsidR="0012327A" w:rsidRPr="001E7ABF">
        <w:rPr>
          <w:szCs w:val="24"/>
        </w:rPr>
        <w:br w:type="page"/>
      </w:r>
    </w:p>
    <w:p w:rsidR="00C72660" w:rsidRPr="001E7ABF" w:rsidRDefault="00C72660" w:rsidP="006E68B5">
      <w:pPr>
        <w:pStyle w:val="Titolo"/>
        <w:spacing w:after="240"/>
        <w:jc w:val="left"/>
        <w:outlineLvl w:val="0"/>
      </w:pPr>
      <w:bookmarkStart w:id="15" w:name="_Toc8978952"/>
      <w:r w:rsidRPr="001E7ABF">
        <w:lastRenderedPageBreak/>
        <w:t>Allegato 1</w:t>
      </w:r>
      <w:r w:rsidR="009A0512" w:rsidRPr="001E7ABF">
        <w:t xml:space="preserve"> </w:t>
      </w:r>
      <w:r w:rsidR="00C21C7F">
        <w:t xml:space="preserve">- </w:t>
      </w:r>
      <w:r w:rsidR="009A0512" w:rsidRPr="001E7ABF">
        <w:t xml:space="preserve">tariffe </w:t>
      </w:r>
      <w:bookmarkEnd w:id="15"/>
      <w:r w:rsidR="00B1557F" w:rsidRPr="001E7ABF">
        <w:t xml:space="preserve">di riferimento </w:t>
      </w:r>
      <w:r w:rsidR="00C21C7F">
        <w:t>e vita utile convenzionale degli impianti</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3"/>
        <w:gridCol w:w="3122"/>
        <w:gridCol w:w="1416"/>
        <w:gridCol w:w="1414"/>
        <w:gridCol w:w="1133"/>
      </w:tblGrid>
      <w:tr w:rsidR="00481D5E" w:rsidRPr="001E7ABF" w:rsidTr="00481D5E">
        <w:trPr>
          <w:cantSplit/>
          <w:trHeight w:val="411"/>
        </w:trPr>
        <w:tc>
          <w:tcPr>
            <w:tcW w:w="1153" w:type="pct"/>
            <w:vMerge w:val="restart"/>
            <w:vAlign w:val="center"/>
          </w:tcPr>
          <w:p w:rsidR="00481D5E" w:rsidRPr="001E7ABF" w:rsidRDefault="00481D5E" w:rsidP="006E68B5">
            <w:pPr>
              <w:pStyle w:val="Nessunaspaziatura"/>
              <w:rPr>
                <w:b/>
                <w:bCs/>
                <w:sz w:val="20"/>
              </w:rPr>
            </w:pPr>
            <w:bookmarkStart w:id="16" w:name="RANGE!A5:F51"/>
            <w:r w:rsidRPr="001E7ABF">
              <w:rPr>
                <w:b/>
                <w:bCs/>
                <w:sz w:val="20"/>
              </w:rPr>
              <w:t>Fonte rinnovabile</w:t>
            </w:r>
            <w:bookmarkEnd w:id="16"/>
          </w:p>
        </w:tc>
        <w:tc>
          <w:tcPr>
            <w:tcW w:w="1695" w:type="pct"/>
            <w:vMerge w:val="restart"/>
            <w:vAlign w:val="center"/>
          </w:tcPr>
          <w:p w:rsidR="00481D5E" w:rsidRPr="001E7ABF" w:rsidRDefault="00481D5E" w:rsidP="006E68B5">
            <w:pPr>
              <w:pStyle w:val="Nessunaspaziatura"/>
              <w:rPr>
                <w:b/>
                <w:bCs/>
                <w:sz w:val="20"/>
              </w:rPr>
            </w:pPr>
            <w:r w:rsidRPr="001E7ABF">
              <w:rPr>
                <w:b/>
                <w:bCs/>
                <w:sz w:val="20"/>
              </w:rPr>
              <w:t>Tipologia</w:t>
            </w:r>
          </w:p>
        </w:tc>
        <w:tc>
          <w:tcPr>
            <w:tcW w:w="769" w:type="pct"/>
            <w:vAlign w:val="center"/>
          </w:tcPr>
          <w:p w:rsidR="00481D5E" w:rsidRPr="001E7ABF" w:rsidRDefault="00481D5E" w:rsidP="006E68B5">
            <w:pPr>
              <w:pStyle w:val="Nessunaspaziatura"/>
              <w:jc w:val="center"/>
              <w:rPr>
                <w:b/>
                <w:bCs/>
                <w:sz w:val="20"/>
              </w:rPr>
            </w:pPr>
            <w:r w:rsidRPr="001E7ABF">
              <w:rPr>
                <w:b/>
                <w:bCs/>
                <w:sz w:val="20"/>
              </w:rPr>
              <w:t>Potenza</w:t>
            </w:r>
          </w:p>
        </w:tc>
        <w:tc>
          <w:tcPr>
            <w:tcW w:w="768" w:type="pct"/>
            <w:vAlign w:val="center"/>
          </w:tcPr>
          <w:p w:rsidR="00481D5E" w:rsidRDefault="00481D5E" w:rsidP="006E68B5">
            <w:pPr>
              <w:pStyle w:val="Nessunaspaziatura"/>
              <w:jc w:val="center"/>
              <w:rPr>
                <w:b/>
                <w:bCs/>
                <w:sz w:val="20"/>
              </w:rPr>
            </w:pPr>
            <w:r w:rsidRPr="001E7ABF">
              <w:rPr>
                <w:b/>
                <w:bCs/>
                <w:sz w:val="20"/>
              </w:rPr>
              <w:t xml:space="preserve">Vita utile </w:t>
            </w:r>
          </w:p>
          <w:p w:rsidR="00481D5E" w:rsidRDefault="00481D5E" w:rsidP="006E68B5">
            <w:pPr>
              <w:pStyle w:val="Nessunaspaziatura"/>
              <w:jc w:val="center"/>
              <w:rPr>
                <w:b/>
                <w:bCs/>
                <w:sz w:val="20"/>
              </w:rPr>
            </w:pPr>
            <w:r>
              <w:rPr>
                <w:b/>
                <w:bCs/>
                <w:sz w:val="20"/>
              </w:rPr>
              <w:t>convenzionale</w:t>
            </w:r>
          </w:p>
          <w:p w:rsidR="00481D5E" w:rsidRPr="001E7ABF" w:rsidRDefault="00481D5E" w:rsidP="006E68B5">
            <w:pPr>
              <w:pStyle w:val="Nessunaspaziatura"/>
              <w:jc w:val="center"/>
              <w:rPr>
                <w:b/>
                <w:bCs/>
                <w:sz w:val="20"/>
              </w:rPr>
            </w:pPr>
            <w:r w:rsidRPr="001E7ABF">
              <w:rPr>
                <w:b/>
                <w:bCs/>
                <w:sz w:val="20"/>
              </w:rPr>
              <w:t>degli impianti</w:t>
            </w:r>
          </w:p>
        </w:tc>
        <w:tc>
          <w:tcPr>
            <w:tcW w:w="616" w:type="pct"/>
            <w:vAlign w:val="center"/>
          </w:tcPr>
          <w:p w:rsidR="00481D5E" w:rsidRPr="001E7ABF" w:rsidRDefault="00481D5E" w:rsidP="006E68B5">
            <w:pPr>
              <w:pStyle w:val="Nessunaspaziatura"/>
              <w:jc w:val="center"/>
              <w:rPr>
                <w:b/>
                <w:bCs/>
                <w:sz w:val="20"/>
              </w:rPr>
            </w:pPr>
            <w:r w:rsidRPr="001E7ABF">
              <w:rPr>
                <w:b/>
                <w:bCs/>
                <w:sz w:val="20"/>
              </w:rPr>
              <w:t>Tariffa</w:t>
            </w:r>
          </w:p>
        </w:tc>
      </w:tr>
      <w:tr w:rsidR="00481D5E" w:rsidRPr="001E7ABF" w:rsidTr="00481D5E">
        <w:trPr>
          <w:cantSplit/>
          <w:trHeight w:val="170"/>
        </w:trPr>
        <w:tc>
          <w:tcPr>
            <w:tcW w:w="1153" w:type="pct"/>
            <w:vMerge/>
            <w:vAlign w:val="center"/>
          </w:tcPr>
          <w:p w:rsidR="00481D5E" w:rsidRPr="001E7ABF" w:rsidRDefault="00481D5E" w:rsidP="006E68B5">
            <w:pPr>
              <w:pStyle w:val="Nessunaspaziatura"/>
              <w:rPr>
                <w:b/>
                <w:bCs/>
                <w:sz w:val="20"/>
              </w:rPr>
            </w:pPr>
          </w:p>
        </w:tc>
        <w:tc>
          <w:tcPr>
            <w:tcW w:w="1695" w:type="pct"/>
            <w:vMerge/>
            <w:vAlign w:val="center"/>
          </w:tcPr>
          <w:p w:rsidR="00481D5E" w:rsidRPr="001E7ABF" w:rsidRDefault="00481D5E" w:rsidP="006E68B5">
            <w:pPr>
              <w:pStyle w:val="Nessunaspaziatura"/>
              <w:rPr>
                <w:b/>
                <w:bCs/>
                <w:sz w:val="20"/>
              </w:rPr>
            </w:pPr>
          </w:p>
        </w:tc>
        <w:tc>
          <w:tcPr>
            <w:tcW w:w="769" w:type="pct"/>
            <w:vAlign w:val="center"/>
          </w:tcPr>
          <w:p w:rsidR="00481D5E" w:rsidRPr="001E7ABF" w:rsidRDefault="00481D5E" w:rsidP="006E68B5">
            <w:pPr>
              <w:pStyle w:val="Nessunaspaziatura"/>
              <w:jc w:val="center"/>
              <w:rPr>
                <w:b/>
                <w:bCs/>
                <w:sz w:val="20"/>
              </w:rPr>
            </w:pPr>
            <w:r w:rsidRPr="001E7ABF">
              <w:rPr>
                <w:b/>
                <w:bCs/>
                <w:sz w:val="20"/>
              </w:rPr>
              <w:t>kW</w:t>
            </w:r>
          </w:p>
        </w:tc>
        <w:tc>
          <w:tcPr>
            <w:tcW w:w="768" w:type="pct"/>
            <w:vAlign w:val="center"/>
          </w:tcPr>
          <w:p w:rsidR="00481D5E" w:rsidRPr="001E7ABF" w:rsidRDefault="00481D5E" w:rsidP="006E68B5">
            <w:pPr>
              <w:pStyle w:val="Nessunaspaziatura"/>
              <w:jc w:val="center"/>
              <w:rPr>
                <w:b/>
                <w:bCs/>
                <w:sz w:val="20"/>
              </w:rPr>
            </w:pPr>
            <w:r w:rsidRPr="001E7ABF">
              <w:rPr>
                <w:b/>
                <w:bCs/>
                <w:sz w:val="20"/>
              </w:rPr>
              <w:t>anni</w:t>
            </w:r>
          </w:p>
        </w:tc>
        <w:tc>
          <w:tcPr>
            <w:tcW w:w="616" w:type="pct"/>
            <w:vAlign w:val="center"/>
          </w:tcPr>
          <w:p w:rsidR="00481D5E" w:rsidRPr="001E7ABF" w:rsidRDefault="00481D5E" w:rsidP="006E68B5">
            <w:pPr>
              <w:pStyle w:val="Nessunaspaziatura"/>
              <w:jc w:val="center"/>
              <w:rPr>
                <w:b/>
                <w:bCs/>
                <w:sz w:val="20"/>
              </w:rPr>
            </w:pPr>
            <w:r w:rsidRPr="001E7ABF">
              <w:rPr>
                <w:b/>
                <w:bCs/>
                <w:sz w:val="20"/>
              </w:rPr>
              <w:t>€/MWh</w:t>
            </w:r>
          </w:p>
        </w:tc>
      </w:tr>
      <w:tr w:rsidR="00481D5E" w:rsidRPr="001E7ABF" w:rsidTr="005B3259">
        <w:trPr>
          <w:cantSplit/>
          <w:trHeight w:val="388"/>
        </w:trPr>
        <w:tc>
          <w:tcPr>
            <w:tcW w:w="1153" w:type="pct"/>
            <w:vMerge w:val="restart"/>
            <w:vAlign w:val="center"/>
          </w:tcPr>
          <w:p w:rsidR="00481D5E" w:rsidRPr="001E7ABF" w:rsidRDefault="00481D5E" w:rsidP="006E68B5">
            <w:pPr>
              <w:pStyle w:val="Nessunaspaziatura"/>
              <w:rPr>
                <w:sz w:val="20"/>
              </w:rPr>
            </w:pPr>
            <w:r w:rsidRPr="001E7ABF">
              <w:rPr>
                <w:sz w:val="20"/>
              </w:rPr>
              <w:t>Geotermica</w:t>
            </w:r>
          </w:p>
        </w:tc>
        <w:tc>
          <w:tcPr>
            <w:tcW w:w="1695" w:type="pct"/>
            <w:vAlign w:val="center"/>
          </w:tcPr>
          <w:p w:rsidR="00481D5E" w:rsidRPr="001E7ABF" w:rsidRDefault="00481D5E" w:rsidP="009A643F">
            <w:pPr>
              <w:pStyle w:val="Nessunaspaziatura"/>
              <w:rPr>
                <w:sz w:val="20"/>
              </w:rPr>
            </w:pPr>
            <w:r w:rsidRPr="001E7ABF">
              <w:rPr>
                <w:sz w:val="20"/>
              </w:rPr>
              <w:t>Tradizionale con innovazioni</w:t>
            </w:r>
          </w:p>
        </w:tc>
        <w:tc>
          <w:tcPr>
            <w:tcW w:w="769" w:type="pct"/>
            <w:vAlign w:val="center"/>
          </w:tcPr>
          <w:p w:rsidR="00481D5E" w:rsidRPr="001E7ABF" w:rsidRDefault="00DF766C" w:rsidP="005F5A89">
            <w:pPr>
              <w:pStyle w:val="Nessunaspaziatura"/>
              <w:jc w:val="center"/>
              <w:rPr>
                <w:sz w:val="20"/>
              </w:rPr>
            </w:pPr>
            <w:r>
              <w:rPr>
                <w:sz w:val="20"/>
              </w:rPr>
              <w:t>Tutte le potenze</w:t>
            </w:r>
          </w:p>
        </w:tc>
        <w:tc>
          <w:tcPr>
            <w:tcW w:w="768" w:type="pct"/>
            <w:vAlign w:val="center"/>
          </w:tcPr>
          <w:p w:rsidR="00481D5E" w:rsidRPr="001E7ABF" w:rsidRDefault="00481D5E" w:rsidP="005F5A89">
            <w:pPr>
              <w:pStyle w:val="Nessunaspaziatura"/>
              <w:jc w:val="center"/>
              <w:rPr>
                <w:sz w:val="20"/>
              </w:rPr>
            </w:pPr>
            <w:r w:rsidRPr="001E7ABF">
              <w:rPr>
                <w:sz w:val="20"/>
              </w:rPr>
              <w:t>25</w:t>
            </w:r>
          </w:p>
        </w:tc>
        <w:tc>
          <w:tcPr>
            <w:tcW w:w="616" w:type="pct"/>
            <w:vAlign w:val="center"/>
          </w:tcPr>
          <w:p w:rsidR="00481D5E" w:rsidRPr="001E7ABF" w:rsidRDefault="00481D5E" w:rsidP="005F5A89">
            <w:pPr>
              <w:pStyle w:val="Nessunaspaziatura"/>
              <w:jc w:val="center"/>
              <w:rPr>
                <w:sz w:val="20"/>
              </w:rPr>
            </w:pPr>
            <w:r w:rsidRPr="001E7ABF">
              <w:rPr>
                <w:sz w:val="20"/>
              </w:rPr>
              <w:t>100</w:t>
            </w:r>
          </w:p>
        </w:tc>
      </w:tr>
      <w:tr w:rsidR="00481D5E" w:rsidRPr="001E7ABF" w:rsidTr="005B3259">
        <w:trPr>
          <w:cantSplit/>
          <w:trHeight w:val="378"/>
        </w:trPr>
        <w:tc>
          <w:tcPr>
            <w:tcW w:w="1153" w:type="pct"/>
            <w:vMerge/>
            <w:vAlign w:val="center"/>
          </w:tcPr>
          <w:p w:rsidR="00481D5E" w:rsidRPr="001E7ABF" w:rsidRDefault="00481D5E" w:rsidP="005F5A89">
            <w:pPr>
              <w:pStyle w:val="Nessunaspaziatura"/>
              <w:rPr>
                <w:sz w:val="20"/>
              </w:rPr>
            </w:pPr>
          </w:p>
        </w:tc>
        <w:tc>
          <w:tcPr>
            <w:tcW w:w="1695" w:type="pct"/>
            <w:vAlign w:val="center"/>
          </w:tcPr>
          <w:p w:rsidR="00481D5E" w:rsidRPr="001E7ABF" w:rsidRDefault="00481D5E" w:rsidP="005F5A89">
            <w:pPr>
              <w:pStyle w:val="Nessunaspaziatura"/>
              <w:rPr>
                <w:sz w:val="20"/>
              </w:rPr>
            </w:pPr>
            <w:r w:rsidRPr="001E7ABF">
              <w:rPr>
                <w:sz w:val="20"/>
              </w:rPr>
              <w:t>A emissioni nulle</w:t>
            </w:r>
          </w:p>
        </w:tc>
        <w:tc>
          <w:tcPr>
            <w:tcW w:w="769" w:type="pct"/>
            <w:vAlign w:val="center"/>
          </w:tcPr>
          <w:p w:rsidR="00481D5E" w:rsidRPr="001E7ABF" w:rsidRDefault="00DF766C" w:rsidP="005F5A89">
            <w:pPr>
              <w:pStyle w:val="Nessunaspaziatura"/>
              <w:jc w:val="center"/>
              <w:rPr>
                <w:sz w:val="20"/>
              </w:rPr>
            </w:pPr>
            <w:r>
              <w:rPr>
                <w:sz w:val="20"/>
              </w:rPr>
              <w:t>Tutte le potenze</w:t>
            </w:r>
          </w:p>
        </w:tc>
        <w:tc>
          <w:tcPr>
            <w:tcW w:w="768" w:type="pct"/>
            <w:vAlign w:val="center"/>
          </w:tcPr>
          <w:p w:rsidR="00481D5E" w:rsidRPr="001E7ABF" w:rsidRDefault="00481D5E" w:rsidP="005F5A89">
            <w:pPr>
              <w:pStyle w:val="Nessunaspaziatura"/>
              <w:jc w:val="center"/>
              <w:rPr>
                <w:sz w:val="20"/>
              </w:rPr>
            </w:pPr>
            <w:r w:rsidRPr="001E7ABF">
              <w:rPr>
                <w:sz w:val="20"/>
              </w:rPr>
              <w:t>25</w:t>
            </w:r>
          </w:p>
        </w:tc>
        <w:tc>
          <w:tcPr>
            <w:tcW w:w="616" w:type="pct"/>
            <w:vAlign w:val="center"/>
          </w:tcPr>
          <w:p w:rsidR="00481D5E" w:rsidRPr="001E7ABF" w:rsidRDefault="00481D5E" w:rsidP="005F5A89">
            <w:pPr>
              <w:pStyle w:val="Nessunaspaziatura"/>
              <w:jc w:val="center"/>
              <w:rPr>
                <w:sz w:val="20"/>
              </w:rPr>
            </w:pPr>
            <w:r w:rsidRPr="001E7ABF">
              <w:rPr>
                <w:sz w:val="20"/>
              </w:rPr>
              <w:t>170</w:t>
            </w:r>
          </w:p>
        </w:tc>
      </w:tr>
      <w:tr w:rsidR="00481D5E" w:rsidRPr="001E7ABF" w:rsidTr="005B3259">
        <w:trPr>
          <w:cantSplit/>
          <w:trHeight w:val="378"/>
        </w:trPr>
        <w:tc>
          <w:tcPr>
            <w:tcW w:w="1153" w:type="pct"/>
            <w:vAlign w:val="center"/>
          </w:tcPr>
          <w:p w:rsidR="00481D5E" w:rsidRPr="001E7ABF" w:rsidRDefault="00481D5E" w:rsidP="005F5A89">
            <w:pPr>
              <w:pStyle w:val="Nessunaspaziatura"/>
              <w:rPr>
                <w:sz w:val="20"/>
              </w:rPr>
            </w:pPr>
            <w:r w:rsidRPr="001E7ABF">
              <w:rPr>
                <w:sz w:val="20"/>
              </w:rPr>
              <w:t>Eolica</w:t>
            </w:r>
          </w:p>
        </w:tc>
        <w:tc>
          <w:tcPr>
            <w:tcW w:w="1695" w:type="pct"/>
            <w:vAlign w:val="center"/>
          </w:tcPr>
          <w:p w:rsidR="00481D5E" w:rsidRPr="001E7ABF" w:rsidRDefault="00481D5E" w:rsidP="00D75BB0">
            <w:pPr>
              <w:pStyle w:val="Nessunaspaziatura"/>
              <w:rPr>
                <w:sz w:val="20"/>
              </w:rPr>
            </w:pPr>
            <w:r w:rsidRPr="001E7ABF">
              <w:rPr>
                <w:sz w:val="20"/>
              </w:rPr>
              <w:t>Eolico offshore</w:t>
            </w:r>
            <w:r>
              <w:rPr>
                <w:sz w:val="20"/>
              </w:rPr>
              <w:t xml:space="preserve"> </w:t>
            </w:r>
          </w:p>
        </w:tc>
        <w:tc>
          <w:tcPr>
            <w:tcW w:w="769" w:type="pct"/>
            <w:vAlign w:val="center"/>
          </w:tcPr>
          <w:p w:rsidR="00481D5E" w:rsidRPr="001E7ABF" w:rsidRDefault="00DF766C" w:rsidP="009C6F4F">
            <w:pPr>
              <w:pStyle w:val="Nessunaspaziatura"/>
              <w:jc w:val="center"/>
              <w:rPr>
                <w:sz w:val="20"/>
              </w:rPr>
            </w:pPr>
            <w:r>
              <w:rPr>
                <w:sz w:val="20"/>
              </w:rPr>
              <w:t>Tutte le potenze</w:t>
            </w:r>
          </w:p>
        </w:tc>
        <w:tc>
          <w:tcPr>
            <w:tcW w:w="768" w:type="pct"/>
            <w:vAlign w:val="center"/>
          </w:tcPr>
          <w:p w:rsidR="00481D5E" w:rsidRPr="001E7ABF" w:rsidRDefault="00481D5E" w:rsidP="009C6F4F">
            <w:pPr>
              <w:pStyle w:val="Nessunaspaziatura"/>
              <w:jc w:val="center"/>
              <w:rPr>
                <w:sz w:val="20"/>
              </w:rPr>
            </w:pPr>
            <w:r w:rsidRPr="001E7ABF">
              <w:rPr>
                <w:sz w:val="20"/>
              </w:rPr>
              <w:t>2</w:t>
            </w:r>
            <w:r>
              <w:rPr>
                <w:sz w:val="20"/>
              </w:rPr>
              <w:t>0</w:t>
            </w:r>
          </w:p>
        </w:tc>
        <w:tc>
          <w:tcPr>
            <w:tcW w:w="616" w:type="pct"/>
            <w:vAlign w:val="center"/>
          </w:tcPr>
          <w:p w:rsidR="00481D5E" w:rsidRPr="001E7ABF" w:rsidRDefault="00481D5E" w:rsidP="009C6F4F">
            <w:pPr>
              <w:pStyle w:val="Nessunaspaziatura"/>
              <w:jc w:val="center"/>
              <w:rPr>
                <w:sz w:val="20"/>
              </w:rPr>
            </w:pPr>
            <w:r w:rsidRPr="001E7ABF">
              <w:rPr>
                <w:sz w:val="20"/>
              </w:rPr>
              <w:t>165</w:t>
            </w:r>
          </w:p>
        </w:tc>
      </w:tr>
      <w:tr w:rsidR="00481D5E" w:rsidRPr="001E7ABF" w:rsidTr="005B3259">
        <w:trPr>
          <w:cantSplit/>
          <w:trHeight w:val="378"/>
        </w:trPr>
        <w:tc>
          <w:tcPr>
            <w:tcW w:w="1153" w:type="pct"/>
            <w:vAlign w:val="center"/>
          </w:tcPr>
          <w:p w:rsidR="00481D5E" w:rsidRPr="001E7ABF" w:rsidRDefault="00481D5E" w:rsidP="005F5A89">
            <w:pPr>
              <w:pStyle w:val="Nessunaspaziatura"/>
              <w:rPr>
                <w:sz w:val="20"/>
              </w:rPr>
            </w:pPr>
            <w:r w:rsidRPr="001E7ABF">
              <w:rPr>
                <w:sz w:val="20"/>
              </w:rPr>
              <w:t>Biogas</w:t>
            </w:r>
          </w:p>
        </w:tc>
        <w:tc>
          <w:tcPr>
            <w:tcW w:w="1695" w:type="pct"/>
            <w:vAlign w:val="center"/>
          </w:tcPr>
          <w:p w:rsidR="00481D5E" w:rsidRPr="001E7ABF" w:rsidRDefault="00481D5E" w:rsidP="00E47399">
            <w:pPr>
              <w:pStyle w:val="Nessunaspaziatura"/>
              <w:rPr>
                <w:sz w:val="20"/>
              </w:rPr>
            </w:pPr>
            <w:r w:rsidRPr="001E7ABF">
              <w:rPr>
                <w:sz w:val="20"/>
              </w:rPr>
              <w:t>utilizzanti sottoprodotti e prodotti di cui alla tabella 1</w:t>
            </w:r>
          </w:p>
        </w:tc>
        <w:tc>
          <w:tcPr>
            <w:tcW w:w="769" w:type="pct"/>
            <w:vAlign w:val="center"/>
          </w:tcPr>
          <w:p w:rsidR="00481D5E" w:rsidRPr="00E43CD4" w:rsidRDefault="00481D5E" w:rsidP="009C6F4F">
            <w:pPr>
              <w:pStyle w:val="Nessunaspaziatura"/>
              <w:jc w:val="center"/>
              <w:rPr>
                <w:sz w:val="20"/>
              </w:rPr>
            </w:pPr>
            <w:r w:rsidRPr="00E43CD4">
              <w:rPr>
                <w:sz w:val="20"/>
              </w:rPr>
              <w:t>1&lt;P≤300</w:t>
            </w:r>
          </w:p>
        </w:tc>
        <w:tc>
          <w:tcPr>
            <w:tcW w:w="768" w:type="pct"/>
            <w:vAlign w:val="center"/>
          </w:tcPr>
          <w:p w:rsidR="00481D5E" w:rsidRPr="00E43CD4" w:rsidRDefault="00481D5E" w:rsidP="009C6F4F">
            <w:pPr>
              <w:pStyle w:val="Nessunaspaziatura"/>
              <w:jc w:val="center"/>
              <w:rPr>
                <w:sz w:val="20"/>
              </w:rPr>
            </w:pPr>
            <w:r w:rsidRPr="00E43CD4">
              <w:rPr>
                <w:sz w:val="20"/>
              </w:rPr>
              <w:t>20</w:t>
            </w:r>
          </w:p>
        </w:tc>
        <w:tc>
          <w:tcPr>
            <w:tcW w:w="616" w:type="pct"/>
            <w:vAlign w:val="center"/>
          </w:tcPr>
          <w:p w:rsidR="00481D5E" w:rsidRPr="00E43CD4" w:rsidRDefault="00481D5E" w:rsidP="009C6F4F">
            <w:pPr>
              <w:pStyle w:val="Nessunaspaziatura"/>
              <w:jc w:val="center"/>
              <w:rPr>
                <w:sz w:val="20"/>
              </w:rPr>
            </w:pPr>
            <w:r w:rsidRPr="00CE1E1E">
              <w:rPr>
                <w:sz w:val="20"/>
              </w:rPr>
              <w:t>200</w:t>
            </w:r>
          </w:p>
        </w:tc>
      </w:tr>
      <w:tr w:rsidR="00481D5E" w:rsidRPr="001E7ABF" w:rsidTr="005B3259">
        <w:trPr>
          <w:cantSplit/>
          <w:trHeight w:val="170"/>
        </w:trPr>
        <w:tc>
          <w:tcPr>
            <w:tcW w:w="1153" w:type="pct"/>
            <w:noWrap/>
            <w:vAlign w:val="center"/>
          </w:tcPr>
          <w:p w:rsidR="00481D5E" w:rsidRPr="001E7ABF" w:rsidRDefault="00481D5E" w:rsidP="00210BAD">
            <w:pPr>
              <w:pStyle w:val="Nessunaspaziatura"/>
              <w:rPr>
                <w:sz w:val="20"/>
              </w:rPr>
            </w:pPr>
            <w:r w:rsidRPr="001E7ABF">
              <w:rPr>
                <w:sz w:val="20"/>
              </w:rPr>
              <w:t>Biomasse</w:t>
            </w:r>
          </w:p>
        </w:tc>
        <w:tc>
          <w:tcPr>
            <w:tcW w:w="1695" w:type="pct"/>
            <w:vAlign w:val="center"/>
          </w:tcPr>
          <w:p w:rsidR="00481D5E" w:rsidRPr="001E7ABF" w:rsidRDefault="00481D5E" w:rsidP="00E47399">
            <w:pPr>
              <w:suppressAutoHyphens w:val="0"/>
              <w:overflowPunct/>
              <w:jc w:val="left"/>
              <w:textAlignment w:val="auto"/>
              <w:rPr>
                <w:sz w:val="20"/>
              </w:rPr>
            </w:pPr>
            <w:r w:rsidRPr="001E7ABF">
              <w:rPr>
                <w:sz w:val="20"/>
              </w:rPr>
              <w:t>utilizzanti sottoprodotti e prodotti di cui alla tabella 2</w:t>
            </w:r>
          </w:p>
        </w:tc>
        <w:tc>
          <w:tcPr>
            <w:tcW w:w="769" w:type="pct"/>
            <w:vAlign w:val="center"/>
          </w:tcPr>
          <w:p w:rsidR="00481D5E" w:rsidRPr="00E43CD4" w:rsidRDefault="00481D5E" w:rsidP="00210BAD">
            <w:pPr>
              <w:pStyle w:val="Nessunaspaziatura"/>
              <w:jc w:val="center"/>
              <w:rPr>
                <w:sz w:val="20"/>
              </w:rPr>
            </w:pPr>
            <w:r w:rsidRPr="00E43CD4">
              <w:rPr>
                <w:sz w:val="20"/>
              </w:rPr>
              <w:t>1&lt;P≤300</w:t>
            </w:r>
          </w:p>
        </w:tc>
        <w:tc>
          <w:tcPr>
            <w:tcW w:w="768" w:type="pct"/>
            <w:vAlign w:val="center"/>
          </w:tcPr>
          <w:p w:rsidR="00481D5E" w:rsidRPr="00E43CD4" w:rsidRDefault="00481D5E" w:rsidP="00210BAD">
            <w:pPr>
              <w:pStyle w:val="Nessunaspaziatura"/>
              <w:jc w:val="center"/>
              <w:rPr>
                <w:sz w:val="20"/>
              </w:rPr>
            </w:pPr>
            <w:r w:rsidRPr="00E43CD4">
              <w:rPr>
                <w:sz w:val="20"/>
              </w:rPr>
              <w:t>20</w:t>
            </w:r>
          </w:p>
        </w:tc>
        <w:tc>
          <w:tcPr>
            <w:tcW w:w="616" w:type="pct"/>
            <w:vAlign w:val="center"/>
          </w:tcPr>
          <w:p w:rsidR="00481D5E" w:rsidRPr="00E43CD4" w:rsidRDefault="00481D5E" w:rsidP="00210BAD">
            <w:pPr>
              <w:pStyle w:val="Nessunaspaziatura"/>
              <w:jc w:val="center"/>
              <w:rPr>
                <w:sz w:val="20"/>
              </w:rPr>
            </w:pPr>
            <w:r w:rsidRPr="00E43CD4">
              <w:rPr>
                <w:sz w:val="20"/>
              </w:rPr>
              <w:t>234</w:t>
            </w:r>
          </w:p>
        </w:tc>
      </w:tr>
      <w:tr w:rsidR="00481D5E" w:rsidRPr="001E7ABF" w:rsidTr="005B3259">
        <w:trPr>
          <w:cantSplit/>
          <w:trHeight w:val="436"/>
        </w:trPr>
        <w:tc>
          <w:tcPr>
            <w:tcW w:w="2847" w:type="pct"/>
            <w:gridSpan w:val="2"/>
            <w:vMerge w:val="restart"/>
            <w:vAlign w:val="center"/>
          </w:tcPr>
          <w:p w:rsidR="00481D5E" w:rsidRPr="001E7ABF" w:rsidRDefault="00481D5E" w:rsidP="006D5148">
            <w:pPr>
              <w:pStyle w:val="Nessunaspaziatura"/>
              <w:rPr>
                <w:sz w:val="20"/>
              </w:rPr>
            </w:pPr>
            <w:r>
              <w:rPr>
                <w:sz w:val="20"/>
              </w:rPr>
              <w:t>Solare Termodinamico</w:t>
            </w:r>
          </w:p>
        </w:tc>
        <w:tc>
          <w:tcPr>
            <w:tcW w:w="769" w:type="pct"/>
            <w:vAlign w:val="center"/>
          </w:tcPr>
          <w:p w:rsidR="00481D5E" w:rsidRPr="00E43CD4" w:rsidRDefault="00481D5E" w:rsidP="007F4453">
            <w:pPr>
              <w:pStyle w:val="Nessunaspaziatura"/>
              <w:jc w:val="center"/>
              <w:rPr>
                <w:sz w:val="20"/>
              </w:rPr>
            </w:pPr>
            <w:r w:rsidRPr="00E43CD4">
              <w:rPr>
                <w:sz w:val="20"/>
              </w:rPr>
              <w:t>1&lt;P≤300</w:t>
            </w:r>
          </w:p>
        </w:tc>
        <w:tc>
          <w:tcPr>
            <w:tcW w:w="768" w:type="pct"/>
            <w:vAlign w:val="center"/>
          </w:tcPr>
          <w:p w:rsidR="00481D5E" w:rsidRPr="00E43CD4" w:rsidRDefault="00481D5E" w:rsidP="006D5148">
            <w:pPr>
              <w:pStyle w:val="Nessunaspaziatura"/>
              <w:jc w:val="center"/>
              <w:rPr>
                <w:sz w:val="20"/>
              </w:rPr>
            </w:pPr>
            <w:r w:rsidRPr="00E43CD4">
              <w:rPr>
                <w:sz w:val="20"/>
              </w:rPr>
              <w:t>25</w:t>
            </w:r>
          </w:p>
        </w:tc>
        <w:tc>
          <w:tcPr>
            <w:tcW w:w="616" w:type="pct"/>
            <w:vAlign w:val="center"/>
          </w:tcPr>
          <w:p w:rsidR="00481D5E" w:rsidRPr="00E43CD4" w:rsidRDefault="0095779F" w:rsidP="006D5148">
            <w:pPr>
              <w:pStyle w:val="Nessunaspaziatura"/>
              <w:jc w:val="center"/>
              <w:rPr>
                <w:sz w:val="20"/>
              </w:rPr>
            </w:pPr>
            <w:r>
              <w:rPr>
                <w:sz w:val="20"/>
              </w:rPr>
              <w:t>300</w:t>
            </w:r>
          </w:p>
        </w:tc>
      </w:tr>
      <w:tr w:rsidR="00481D5E" w:rsidRPr="001E7ABF" w:rsidTr="005B3259">
        <w:trPr>
          <w:cantSplit/>
          <w:trHeight w:val="482"/>
        </w:trPr>
        <w:tc>
          <w:tcPr>
            <w:tcW w:w="2847" w:type="pct"/>
            <w:gridSpan w:val="2"/>
            <w:vMerge/>
            <w:vAlign w:val="center"/>
          </w:tcPr>
          <w:p w:rsidR="00481D5E" w:rsidRPr="001E7ABF" w:rsidRDefault="00481D5E" w:rsidP="006D5148">
            <w:pPr>
              <w:pStyle w:val="Nessunaspaziatura"/>
              <w:rPr>
                <w:sz w:val="20"/>
              </w:rPr>
            </w:pPr>
          </w:p>
        </w:tc>
        <w:tc>
          <w:tcPr>
            <w:tcW w:w="769" w:type="pct"/>
            <w:vAlign w:val="center"/>
          </w:tcPr>
          <w:p w:rsidR="00481D5E" w:rsidRPr="00E43CD4" w:rsidRDefault="00481D5E" w:rsidP="007F4453">
            <w:pPr>
              <w:pStyle w:val="Nessunaspaziatura"/>
              <w:jc w:val="center"/>
              <w:rPr>
                <w:sz w:val="20"/>
              </w:rPr>
            </w:pPr>
            <w:r w:rsidRPr="00E43CD4">
              <w:rPr>
                <w:sz w:val="20"/>
              </w:rPr>
              <w:t>300&lt;P</w:t>
            </w:r>
            <w:r w:rsidR="00060FD7" w:rsidRPr="00E43CD4">
              <w:rPr>
                <w:sz w:val="20"/>
              </w:rPr>
              <w:t>≤</w:t>
            </w:r>
            <w:r w:rsidRPr="00E43CD4">
              <w:rPr>
                <w:sz w:val="20"/>
              </w:rPr>
              <w:t>5.000</w:t>
            </w:r>
          </w:p>
        </w:tc>
        <w:tc>
          <w:tcPr>
            <w:tcW w:w="768" w:type="pct"/>
            <w:vAlign w:val="center"/>
          </w:tcPr>
          <w:p w:rsidR="00481D5E" w:rsidRPr="00E43CD4" w:rsidRDefault="00481D5E" w:rsidP="006D5148">
            <w:pPr>
              <w:pStyle w:val="Nessunaspaziatura"/>
              <w:jc w:val="center"/>
              <w:rPr>
                <w:sz w:val="20"/>
              </w:rPr>
            </w:pPr>
            <w:r w:rsidRPr="00E43CD4">
              <w:rPr>
                <w:sz w:val="20"/>
              </w:rPr>
              <w:t>25</w:t>
            </w:r>
          </w:p>
        </w:tc>
        <w:tc>
          <w:tcPr>
            <w:tcW w:w="616" w:type="pct"/>
            <w:vAlign w:val="center"/>
          </w:tcPr>
          <w:p w:rsidR="00481D5E" w:rsidRPr="00E43CD4" w:rsidRDefault="0095779F" w:rsidP="006D5148">
            <w:pPr>
              <w:pStyle w:val="Nessunaspaziatura"/>
              <w:jc w:val="center"/>
              <w:rPr>
                <w:sz w:val="20"/>
              </w:rPr>
            </w:pPr>
            <w:r>
              <w:rPr>
                <w:sz w:val="20"/>
              </w:rPr>
              <w:t>240</w:t>
            </w:r>
          </w:p>
        </w:tc>
      </w:tr>
    </w:tbl>
    <w:p w:rsidR="00C72660" w:rsidRPr="001E7ABF" w:rsidRDefault="009A0512" w:rsidP="00721397">
      <w:pPr>
        <w:pStyle w:val="Nessunaspaziatura"/>
        <w:spacing w:before="240"/>
        <w:jc w:val="center"/>
        <w:rPr>
          <w:i/>
          <w:szCs w:val="24"/>
        </w:rPr>
      </w:pPr>
      <w:r w:rsidRPr="001E7ABF">
        <w:rPr>
          <w:i/>
          <w:szCs w:val="24"/>
        </w:rPr>
        <w:t>Tabella 1.1</w:t>
      </w:r>
      <w:r w:rsidR="00DB66B1" w:rsidRPr="001E7ABF">
        <w:rPr>
          <w:i/>
          <w:szCs w:val="24"/>
        </w:rPr>
        <w:t xml:space="preserve"> – Costi di Riferimento, vita</w:t>
      </w:r>
      <w:r w:rsidR="00E244DF" w:rsidRPr="001E7ABF">
        <w:rPr>
          <w:i/>
          <w:szCs w:val="24"/>
        </w:rPr>
        <w:t xml:space="preserve"> utile convenzionale e tariffe di riferimento</w:t>
      </w:r>
    </w:p>
    <w:p w:rsidR="003C1E38" w:rsidRPr="001E7ABF" w:rsidRDefault="00F235C8" w:rsidP="006E68B5">
      <w:pPr>
        <w:pStyle w:val="Nessunaspaziatura"/>
        <w:spacing w:before="240"/>
        <w:rPr>
          <w:szCs w:val="24"/>
        </w:rPr>
      </w:pPr>
      <w:r w:rsidRPr="001E7ABF">
        <w:rPr>
          <w:szCs w:val="24"/>
        </w:rPr>
        <w:t xml:space="preserve">Per le finalità del presente decreto, il GSE effettua una ricognizione annuale dei </w:t>
      </w:r>
      <w:r w:rsidR="007F7799" w:rsidRPr="001E7ABF">
        <w:rPr>
          <w:szCs w:val="24"/>
        </w:rPr>
        <w:t>costi di produzione delle tipologie di impianti ammissibili agli incentivi, in particolare di potenza inferiore a 1 MW.</w:t>
      </w:r>
    </w:p>
    <w:p w:rsidR="003C1E38" w:rsidRPr="001E7ABF" w:rsidRDefault="00BB7AD1" w:rsidP="00BB7AD1">
      <w:pPr>
        <w:pStyle w:val="Nessunaspaziatura"/>
        <w:spacing w:before="240" w:after="240"/>
        <w:outlineLvl w:val="1"/>
        <w:rPr>
          <w:b/>
          <w:bCs/>
          <w:szCs w:val="24"/>
        </w:rPr>
      </w:pPr>
      <w:bookmarkStart w:id="17" w:name="_Toc8976567"/>
      <w:bookmarkStart w:id="18" w:name="_Toc8976665"/>
      <w:bookmarkStart w:id="19" w:name="_Toc8976763"/>
      <w:bookmarkStart w:id="20" w:name="_Toc8978954"/>
      <w:bookmarkStart w:id="21" w:name="_Toc8976569"/>
      <w:bookmarkStart w:id="22" w:name="_Toc8976667"/>
      <w:bookmarkStart w:id="23" w:name="_Toc8976765"/>
      <w:bookmarkStart w:id="24" w:name="_Toc8978956"/>
      <w:bookmarkStart w:id="25" w:name="_Toc8976571"/>
      <w:bookmarkStart w:id="26" w:name="_Toc8976669"/>
      <w:bookmarkStart w:id="27" w:name="_Toc8976767"/>
      <w:bookmarkStart w:id="28" w:name="_Toc8978958"/>
      <w:bookmarkStart w:id="29" w:name="_Toc8976572"/>
      <w:bookmarkStart w:id="30" w:name="_Toc8976670"/>
      <w:bookmarkStart w:id="31" w:name="_Toc8976768"/>
      <w:bookmarkStart w:id="32" w:name="_Toc8978959"/>
      <w:bookmarkStart w:id="33" w:name="_Toc897896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1E7ABF">
        <w:rPr>
          <w:b/>
          <w:bCs/>
        </w:rPr>
        <w:t xml:space="preserve">1. </w:t>
      </w:r>
      <w:r w:rsidR="007F7799" w:rsidRPr="001E7ABF">
        <w:rPr>
          <w:b/>
          <w:bCs/>
        </w:rPr>
        <w:t>Calcolo</w:t>
      </w:r>
      <w:r w:rsidR="007F7799" w:rsidRPr="001E7ABF">
        <w:rPr>
          <w:b/>
          <w:bCs/>
          <w:szCs w:val="24"/>
        </w:rPr>
        <w:t xml:space="preserve"> della riduzione tariffaria </w:t>
      </w:r>
      <w:r w:rsidR="003C1E38" w:rsidRPr="001E7ABF">
        <w:rPr>
          <w:b/>
          <w:bCs/>
          <w:szCs w:val="24"/>
        </w:rPr>
        <w:t>per gli impianti ai quali è stato riconosciuto o assegnato un contributo in conto capitale</w:t>
      </w:r>
      <w:bookmarkEnd w:id="33"/>
      <w:r w:rsidR="003C1E38" w:rsidRPr="001E7ABF">
        <w:rPr>
          <w:b/>
          <w:bCs/>
          <w:szCs w:val="24"/>
        </w:rPr>
        <w:t xml:space="preserve"> </w:t>
      </w:r>
      <w:r w:rsidR="00797DE0" w:rsidRPr="001E7ABF">
        <w:rPr>
          <w:b/>
          <w:bCs/>
          <w:szCs w:val="24"/>
        </w:rPr>
        <w:t>(</w:t>
      </w:r>
      <w:r w:rsidRPr="001E7ABF">
        <w:rPr>
          <w:b/>
          <w:bCs/>
          <w:szCs w:val="24"/>
        </w:rPr>
        <w:t xml:space="preserve">articolo </w:t>
      </w:r>
      <w:r w:rsidR="00E046C1" w:rsidRPr="001E7ABF">
        <w:rPr>
          <w:b/>
          <w:bCs/>
          <w:szCs w:val="24"/>
        </w:rPr>
        <w:t>1</w:t>
      </w:r>
      <w:r w:rsidR="00C1244D">
        <w:rPr>
          <w:b/>
          <w:bCs/>
          <w:szCs w:val="24"/>
        </w:rPr>
        <w:t>2</w:t>
      </w:r>
      <w:r w:rsidRPr="001E7ABF">
        <w:rPr>
          <w:b/>
          <w:bCs/>
          <w:szCs w:val="24"/>
        </w:rPr>
        <w:t xml:space="preserve">, comma </w:t>
      </w:r>
      <w:r w:rsidR="00C1244D">
        <w:rPr>
          <w:b/>
          <w:bCs/>
          <w:szCs w:val="24"/>
        </w:rPr>
        <w:t>1)</w:t>
      </w:r>
    </w:p>
    <w:p w:rsidR="00E046C1" w:rsidRPr="001E7ABF" w:rsidRDefault="003C1E38" w:rsidP="00E046C1">
      <w:pPr>
        <w:pStyle w:val="Nessunaspaziatura"/>
        <w:rPr>
          <w:szCs w:val="24"/>
        </w:rPr>
      </w:pPr>
      <w:r w:rsidRPr="001E7ABF">
        <w:rPr>
          <w:szCs w:val="24"/>
        </w:rPr>
        <w:t xml:space="preserve">Per gli impianti ai quali sia stato assegnato o riconosciuto un contributo in conto capitale, </w:t>
      </w:r>
      <w:r w:rsidR="004C11B4">
        <w:rPr>
          <w:szCs w:val="24"/>
        </w:rPr>
        <w:t>la tariffa spettante</w:t>
      </w:r>
      <w:r w:rsidR="00797DE0" w:rsidRPr="001E7ABF">
        <w:rPr>
          <w:szCs w:val="24"/>
        </w:rPr>
        <w:t xml:space="preserve"> è calcolata applicando il fattore percentuale (1-F), dove</w:t>
      </w:r>
      <w:r w:rsidR="00E046C1" w:rsidRPr="001E7ABF">
        <w:rPr>
          <w:szCs w:val="24"/>
        </w:rPr>
        <w:t xml:space="preserve"> </w:t>
      </w:r>
      <w:r w:rsidR="00797DE0" w:rsidRPr="001E7ABF">
        <w:rPr>
          <w:szCs w:val="24"/>
        </w:rPr>
        <w:t>F</w:t>
      </w:r>
      <w:r w:rsidRPr="001E7ABF">
        <w:rPr>
          <w:szCs w:val="24"/>
        </w:rPr>
        <w:t xml:space="preserve"> è un parametro che varia linearmente tra 0 (nessun contributo in conto capitale) e</w:t>
      </w:r>
      <w:r w:rsidR="006F1AC6" w:rsidRPr="001E7ABF">
        <w:rPr>
          <w:szCs w:val="24"/>
        </w:rPr>
        <w:t xml:space="preserve"> </w:t>
      </w:r>
      <w:r w:rsidR="00E046C1" w:rsidRPr="001E7ABF">
        <w:rPr>
          <w:szCs w:val="24"/>
        </w:rPr>
        <w:t xml:space="preserve">i seguenti valori riferiti </w:t>
      </w:r>
      <w:r w:rsidR="00797DE0" w:rsidRPr="001E7ABF">
        <w:rPr>
          <w:szCs w:val="24"/>
        </w:rPr>
        <w:t>al caso di contributo in conto capitale pari al 40% dell’investimento</w:t>
      </w:r>
      <w:r w:rsidR="00E046C1" w:rsidRPr="001E7ABF">
        <w:rPr>
          <w:szCs w:val="24"/>
        </w:rPr>
        <w:t>:</w:t>
      </w:r>
    </w:p>
    <w:p w:rsidR="006C6A74" w:rsidRPr="001E7ABF" w:rsidRDefault="00E046C1" w:rsidP="00FF03FF">
      <w:pPr>
        <w:pStyle w:val="Nessunaspaziatura"/>
        <w:numPr>
          <w:ilvl w:val="0"/>
          <w:numId w:val="11"/>
        </w:numPr>
        <w:rPr>
          <w:szCs w:val="24"/>
        </w:rPr>
      </w:pPr>
      <w:r w:rsidRPr="001E7ABF">
        <w:rPr>
          <w:szCs w:val="24"/>
        </w:rPr>
        <w:t xml:space="preserve">12% </w:t>
      </w:r>
      <w:r w:rsidR="009B5C3E" w:rsidRPr="001E7ABF">
        <w:rPr>
          <w:szCs w:val="24"/>
        </w:rPr>
        <w:t>per gli impianti alimentati da biogas e biomasse;</w:t>
      </w:r>
    </w:p>
    <w:p w:rsidR="009B5C3E" w:rsidRPr="001E7ABF" w:rsidRDefault="009B5C3E" w:rsidP="00FF03FF">
      <w:pPr>
        <w:pStyle w:val="Nessunaspaziatura"/>
        <w:numPr>
          <w:ilvl w:val="0"/>
          <w:numId w:val="11"/>
        </w:numPr>
        <w:rPr>
          <w:szCs w:val="24"/>
        </w:rPr>
      </w:pPr>
      <w:r w:rsidRPr="001E7ABF">
        <w:rPr>
          <w:szCs w:val="24"/>
        </w:rPr>
        <w:t xml:space="preserve">26% per </w:t>
      </w:r>
      <w:r w:rsidR="009E07F4" w:rsidRPr="001E7ABF">
        <w:rPr>
          <w:szCs w:val="24"/>
        </w:rPr>
        <w:t>tutti gli altri impianti</w:t>
      </w:r>
      <w:r w:rsidR="002604C0">
        <w:rPr>
          <w:szCs w:val="24"/>
        </w:rPr>
        <w:t>.</w:t>
      </w:r>
    </w:p>
    <w:p w:rsidR="00E10DF7" w:rsidRDefault="00F26662" w:rsidP="00571469">
      <w:pPr>
        <w:pStyle w:val="Nessunaspaziatura"/>
        <w:spacing w:before="240"/>
        <w:rPr>
          <w:szCs w:val="24"/>
        </w:rPr>
      </w:pPr>
      <w:r w:rsidRPr="001F7B94">
        <w:rPr>
          <w:b/>
          <w:bCs/>
          <w:szCs w:val="24"/>
        </w:rPr>
        <w:t xml:space="preserve">2. Calcolo della tariffa per gli interventi di </w:t>
      </w:r>
      <w:r w:rsidR="006137CE">
        <w:rPr>
          <w:b/>
          <w:bCs/>
          <w:szCs w:val="24"/>
        </w:rPr>
        <w:t>rifa</w:t>
      </w:r>
      <w:r w:rsidR="00E73C04">
        <w:rPr>
          <w:b/>
          <w:bCs/>
          <w:szCs w:val="24"/>
        </w:rPr>
        <w:t xml:space="preserve">cimento </w:t>
      </w:r>
    </w:p>
    <w:p w:rsidR="003C1E38" w:rsidRDefault="00AB6F47" w:rsidP="00571469">
      <w:pPr>
        <w:pStyle w:val="Nessunaspaziatura"/>
        <w:spacing w:before="240"/>
        <w:rPr>
          <w:szCs w:val="24"/>
        </w:rPr>
      </w:pPr>
      <w:r>
        <w:rPr>
          <w:szCs w:val="24"/>
        </w:rPr>
        <w:t>L</w:t>
      </w:r>
      <w:r w:rsidR="005D3861">
        <w:rPr>
          <w:szCs w:val="24"/>
        </w:rPr>
        <w:t xml:space="preserve">a tariffa </w:t>
      </w:r>
      <w:r w:rsidR="00082879">
        <w:rPr>
          <w:szCs w:val="24"/>
        </w:rPr>
        <w:t>spettante</w:t>
      </w:r>
      <w:r w:rsidR="004B284E">
        <w:rPr>
          <w:szCs w:val="24"/>
        </w:rPr>
        <w:t xml:space="preserve"> è ridotta </w:t>
      </w:r>
      <w:r w:rsidR="00657FF2">
        <w:rPr>
          <w:szCs w:val="24"/>
        </w:rPr>
        <w:t xml:space="preserve">applicando </w:t>
      </w:r>
      <w:r w:rsidR="002604C0">
        <w:rPr>
          <w:szCs w:val="24"/>
        </w:rPr>
        <w:t>il</w:t>
      </w:r>
      <w:r w:rsidR="004B284E">
        <w:rPr>
          <w:szCs w:val="24"/>
        </w:rPr>
        <w:t xml:space="preserve"> coefficiente </w:t>
      </w:r>
      <w:r w:rsidR="005B0D80">
        <w:rPr>
          <w:szCs w:val="24"/>
        </w:rPr>
        <w:t xml:space="preserve">di gradazione </w:t>
      </w:r>
      <w:r w:rsidR="00174689">
        <w:rPr>
          <w:szCs w:val="24"/>
        </w:rPr>
        <w:t>(</w:t>
      </w:r>
      <w:r w:rsidR="00104511">
        <w:rPr>
          <w:szCs w:val="24"/>
        </w:rPr>
        <w:t>D</w:t>
      </w:r>
      <w:r w:rsidR="00174689">
        <w:rPr>
          <w:szCs w:val="24"/>
        </w:rPr>
        <w:t>)</w:t>
      </w:r>
      <w:r w:rsidR="00104511">
        <w:rPr>
          <w:szCs w:val="24"/>
        </w:rPr>
        <w:t xml:space="preserve">, </w:t>
      </w:r>
      <w:r w:rsidR="00461C9A">
        <w:rPr>
          <w:szCs w:val="24"/>
        </w:rPr>
        <w:t>calcolato con le modalità di cui al</w:t>
      </w:r>
      <w:r w:rsidR="00082879">
        <w:rPr>
          <w:szCs w:val="24"/>
        </w:rPr>
        <w:t xml:space="preserve">l’allegato 2 del </w:t>
      </w:r>
      <w:r w:rsidR="00660E97">
        <w:rPr>
          <w:szCs w:val="24"/>
        </w:rPr>
        <w:t>DM 6 luglio 201</w:t>
      </w:r>
      <w:r w:rsidR="00082879">
        <w:rPr>
          <w:szCs w:val="24"/>
        </w:rPr>
        <w:t>2</w:t>
      </w:r>
      <w:r w:rsidR="00C71EAF">
        <w:rPr>
          <w:szCs w:val="24"/>
        </w:rPr>
        <w:t xml:space="preserve">. </w:t>
      </w:r>
      <w:r w:rsidR="0053001D">
        <w:rPr>
          <w:szCs w:val="24"/>
        </w:rPr>
        <w:t xml:space="preserve"> </w:t>
      </w:r>
      <w:r w:rsidR="003C1E38" w:rsidRPr="001E7ABF">
        <w:rPr>
          <w:szCs w:val="24"/>
        </w:rPr>
        <w:br w:type="page"/>
      </w:r>
    </w:p>
    <w:p w:rsidR="001425D6" w:rsidRDefault="001425D6" w:rsidP="00C726E9">
      <w:pPr>
        <w:pStyle w:val="Titolo"/>
        <w:spacing w:after="240"/>
        <w:jc w:val="left"/>
        <w:outlineLvl w:val="0"/>
      </w:pPr>
      <w:r w:rsidRPr="00C726E9">
        <w:lastRenderedPageBreak/>
        <w:t xml:space="preserve">Allegato </w:t>
      </w:r>
      <w:r w:rsidR="00DE4E20" w:rsidRPr="00C726E9">
        <w:t>2</w:t>
      </w:r>
      <w:r w:rsidR="00E60FFC">
        <w:t xml:space="preserve">: </w:t>
      </w:r>
      <w:r w:rsidR="00DE4E20">
        <w:t>Requisiti specifici per l’accesso agli incentivi</w:t>
      </w:r>
    </w:p>
    <w:p w:rsidR="001425D6" w:rsidRPr="00C726E9" w:rsidRDefault="00DE4E20" w:rsidP="008E24FD">
      <w:pPr>
        <w:pStyle w:val="Sottotitolo"/>
        <w:spacing w:before="360" w:after="0"/>
        <w:outlineLvl w:val="1"/>
        <w:rPr>
          <w:iCs/>
          <w:sz w:val="28"/>
          <w:szCs w:val="28"/>
        </w:rPr>
      </w:pPr>
      <w:r w:rsidRPr="00C726E9">
        <w:rPr>
          <w:iCs/>
          <w:sz w:val="28"/>
          <w:szCs w:val="28"/>
        </w:rPr>
        <w:t>1. I</w:t>
      </w:r>
      <w:r w:rsidR="001425D6" w:rsidRPr="00C726E9">
        <w:rPr>
          <w:iCs/>
          <w:sz w:val="28"/>
          <w:szCs w:val="28"/>
        </w:rPr>
        <w:t>mpianti a biogas</w:t>
      </w:r>
    </w:p>
    <w:p w:rsidR="001425D6" w:rsidRPr="001E7ABF" w:rsidRDefault="001425D6" w:rsidP="001425D6">
      <w:pPr>
        <w:pStyle w:val="Nessunaspaziatura"/>
        <w:spacing w:before="240"/>
      </w:pPr>
      <w:r w:rsidRPr="001E7ABF">
        <w:t xml:space="preserve">1. </w:t>
      </w:r>
      <w:r w:rsidR="005A0B8A">
        <w:t>P</w:t>
      </w:r>
      <w:r w:rsidRPr="001E7ABF">
        <w:t xml:space="preserve">er gli impianti alimentati a biogas la partecipazione alle procedure </w:t>
      </w:r>
      <w:r w:rsidR="003B167A">
        <w:t>è subordinato</w:t>
      </w:r>
      <w:r w:rsidRPr="001E7ABF">
        <w:t xml:space="preserve"> al rispetto </w:t>
      </w:r>
      <w:r w:rsidR="003B167A">
        <w:t>di</w:t>
      </w:r>
      <w:r w:rsidR="00E43E4E">
        <w:t xml:space="preserve"> tutti i</w:t>
      </w:r>
      <w:r w:rsidR="003B167A">
        <w:t xml:space="preserve"> seguenti re</w:t>
      </w:r>
      <w:r w:rsidR="0058573D">
        <w:t>quisiti</w:t>
      </w:r>
      <w:r w:rsidRPr="001E7ABF">
        <w:t>:</w:t>
      </w:r>
    </w:p>
    <w:p w:rsidR="007E21C9" w:rsidRPr="001E7ABF" w:rsidRDefault="007E21C9" w:rsidP="00571469">
      <w:pPr>
        <w:pStyle w:val="Nessunaspaziatura"/>
        <w:numPr>
          <w:ilvl w:val="0"/>
          <w:numId w:val="12"/>
        </w:numPr>
        <w:spacing w:before="240"/>
        <w:ind w:left="426"/>
      </w:pPr>
      <w:r w:rsidRPr="001E7ABF">
        <w:rPr>
          <w:szCs w:val="24"/>
        </w:rPr>
        <w:t xml:space="preserve">le vasche del digestato degli impianti, di volume pari alla produzione di almeno 30 giorni, come specificato nell’ambito del pertinente titolo autorizzativo, sono </w:t>
      </w:r>
      <w:r w:rsidR="0017284B">
        <w:rPr>
          <w:szCs w:val="24"/>
        </w:rPr>
        <w:t xml:space="preserve">dotate di copertura </w:t>
      </w:r>
      <w:r w:rsidR="002B3F30">
        <w:rPr>
          <w:szCs w:val="24"/>
        </w:rPr>
        <w:t>a tenuta</w:t>
      </w:r>
      <w:r w:rsidR="005B655C">
        <w:rPr>
          <w:szCs w:val="24"/>
        </w:rPr>
        <w:t xml:space="preserve"> </w:t>
      </w:r>
      <w:r w:rsidR="004429B3">
        <w:rPr>
          <w:szCs w:val="24"/>
        </w:rPr>
        <w:t>di gas</w:t>
      </w:r>
      <w:r w:rsidR="0017284B" w:rsidRPr="001E7ABF">
        <w:rPr>
          <w:szCs w:val="24"/>
        </w:rPr>
        <w:t xml:space="preserve"> </w:t>
      </w:r>
      <w:r w:rsidRPr="001E7ABF">
        <w:rPr>
          <w:szCs w:val="24"/>
        </w:rPr>
        <w:t>e di sistemi di recupero del gas da reimpiegare per produzione elettrica o biometano;</w:t>
      </w:r>
    </w:p>
    <w:p w:rsidR="007E21C9" w:rsidRPr="00994935" w:rsidRDefault="007E21C9" w:rsidP="00FF03FF">
      <w:pPr>
        <w:pStyle w:val="Nessunaspaziatura"/>
        <w:numPr>
          <w:ilvl w:val="0"/>
          <w:numId w:val="12"/>
        </w:numPr>
        <w:ind w:left="426"/>
      </w:pPr>
      <w:r w:rsidRPr="001E7ABF">
        <w:rPr>
          <w:szCs w:val="24"/>
        </w:rPr>
        <w:t>l’energia termica prodotta</w:t>
      </w:r>
      <w:r w:rsidR="005748D7">
        <w:rPr>
          <w:szCs w:val="24"/>
        </w:rPr>
        <w:t xml:space="preserve"> è recuperata ed</w:t>
      </w:r>
      <w:r w:rsidRPr="001E7ABF">
        <w:rPr>
          <w:szCs w:val="24"/>
        </w:rPr>
        <w:t xml:space="preserve"> è</w:t>
      </w:r>
      <w:r w:rsidR="005748D7">
        <w:rPr>
          <w:szCs w:val="24"/>
        </w:rPr>
        <w:t xml:space="preserve"> prioritariamente</w:t>
      </w:r>
      <w:r w:rsidRPr="001E7ABF">
        <w:rPr>
          <w:szCs w:val="24"/>
        </w:rPr>
        <w:t xml:space="preserve"> autoconsumata in sito, a servizio dei processi aziendali</w:t>
      </w:r>
      <w:r>
        <w:rPr>
          <w:szCs w:val="24"/>
        </w:rPr>
        <w:t>;</w:t>
      </w:r>
    </w:p>
    <w:p w:rsidR="007E21C9" w:rsidRPr="00F40FD5" w:rsidRDefault="007E21C9" w:rsidP="00FF03FF">
      <w:pPr>
        <w:pStyle w:val="Nessunaspaziatura"/>
        <w:numPr>
          <w:ilvl w:val="0"/>
          <w:numId w:val="12"/>
        </w:numPr>
        <w:ind w:left="426"/>
      </w:pPr>
      <w:r>
        <w:rPr>
          <w:szCs w:val="24"/>
        </w:rPr>
        <w:t xml:space="preserve">l’impianto è ubicato ad una distanza dalle reti </w:t>
      </w:r>
      <w:r w:rsidR="000A6FE9">
        <w:rPr>
          <w:szCs w:val="24"/>
        </w:rPr>
        <w:t xml:space="preserve">di trasporto </w:t>
      </w:r>
      <w:r>
        <w:rPr>
          <w:szCs w:val="24"/>
        </w:rPr>
        <w:t>del gas naturale</w:t>
      </w:r>
      <w:r w:rsidR="000A6FE9">
        <w:rPr>
          <w:szCs w:val="24"/>
        </w:rPr>
        <w:t xml:space="preserve"> non inferiore </w:t>
      </w:r>
      <w:r>
        <w:rPr>
          <w:szCs w:val="24"/>
        </w:rPr>
        <w:t>a 1,5 km</w:t>
      </w:r>
      <w:r w:rsidR="0080123B">
        <w:rPr>
          <w:szCs w:val="24"/>
        </w:rPr>
        <w:t>;</w:t>
      </w:r>
    </w:p>
    <w:p w:rsidR="001425D6" w:rsidRPr="001E7ABF" w:rsidRDefault="001425D6" w:rsidP="00FF03FF">
      <w:pPr>
        <w:pStyle w:val="Nessunaspaziatura"/>
        <w:numPr>
          <w:ilvl w:val="0"/>
          <w:numId w:val="12"/>
        </w:numPr>
        <w:ind w:left="426"/>
        <w:rPr>
          <w:szCs w:val="24"/>
        </w:rPr>
      </w:pPr>
      <w:r w:rsidRPr="001E7ABF">
        <w:rPr>
          <w:szCs w:val="24"/>
        </w:rPr>
        <w:t>gli impianti utilizzano in misura pari almeno all’80% sottoprodotti di cui alla Tabella 1, Parte A, allegata al presente decreto e per l’eventuale quota residua prodotti di cui alla Tabella 1, Parte B;</w:t>
      </w:r>
    </w:p>
    <w:p w:rsidR="001425D6" w:rsidRPr="001E7ABF" w:rsidRDefault="001425D6" w:rsidP="00FF03FF">
      <w:pPr>
        <w:pStyle w:val="Nessunaspaziatura"/>
        <w:numPr>
          <w:ilvl w:val="0"/>
          <w:numId w:val="12"/>
        </w:numPr>
        <w:ind w:left="426"/>
        <w:rPr>
          <w:szCs w:val="24"/>
        </w:rPr>
      </w:pPr>
      <w:r w:rsidRPr="001E7ABF">
        <w:rPr>
          <w:szCs w:val="24"/>
        </w:rPr>
        <w:t xml:space="preserve">prodotti e sottoprodotti utilizzati, derivano per almeno il 51% </w:t>
      </w:r>
      <w:r w:rsidR="00F905E4">
        <w:rPr>
          <w:szCs w:val="24"/>
        </w:rPr>
        <w:t xml:space="preserve">dal ciclo produttivo delle </w:t>
      </w:r>
      <w:r w:rsidR="00F1556F">
        <w:rPr>
          <w:szCs w:val="24"/>
        </w:rPr>
        <w:t>aziende</w:t>
      </w:r>
      <w:r w:rsidR="00F905E4">
        <w:rPr>
          <w:szCs w:val="24"/>
        </w:rPr>
        <w:t xml:space="preserve"> agricole che realizzano </w:t>
      </w:r>
      <w:r w:rsidRPr="001E7ABF">
        <w:rPr>
          <w:szCs w:val="24"/>
        </w:rPr>
        <w:t>l’impianto di produzione elettrica</w:t>
      </w:r>
      <w:r w:rsidR="004F1266">
        <w:rPr>
          <w:szCs w:val="24"/>
        </w:rPr>
        <w:t>.</w:t>
      </w:r>
    </w:p>
    <w:p w:rsidR="001425D6" w:rsidRPr="00C726E9" w:rsidRDefault="00116FAE" w:rsidP="008E24FD">
      <w:pPr>
        <w:pStyle w:val="Sottotitolo"/>
        <w:spacing w:before="360" w:after="0"/>
        <w:outlineLvl w:val="1"/>
        <w:rPr>
          <w:iCs/>
          <w:sz w:val="28"/>
          <w:szCs w:val="28"/>
        </w:rPr>
      </w:pPr>
      <w:r w:rsidRPr="00C726E9">
        <w:rPr>
          <w:iCs/>
          <w:sz w:val="28"/>
          <w:szCs w:val="28"/>
        </w:rPr>
        <w:t xml:space="preserve">2. </w:t>
      </w:r>
      <w:r w:rsidRPr="005F5C60">
        <w:rPr>
          <w:iCs/>
          <w:sz w:val="28"/>
          <w:szCs w:val="28"/>
        </w:rPr>
        <w:t>I</w:t>
      </w:r>
      <w:r w:rsidR="001425D6" w:rsidRPr="00C726E9">
        <w:rPr>
          <w:iCs/>
          <w:sz w:val="28"/>
          <w:szCs w:val="28"/>
        </w:rPr>
        <w:t>mpianti a biomassa</w:t>
      </w:r>
    </w:p>
    <w:p w:rsidR="001425D6" w:rsidRPr="001E7ABF" w:rsidRDefault="001425D6" w:rsidP="001425D6">
      <w:pPr>
        <w:pStyle w:val="Nessunaspaziatura"/>
        <w:spacing w:before="240"/>
      </w:pPr>
      <w:r w:rsidRPr="001E7ABF">
        <w:t xml:space="preserve">1. </w:t>
      </w:r>
      <w:r w:rsidR="00960F38">
        <w:t>Per g</w:t>
      </w:r>
      <w:r w:rsidRPr="001E7ABF">
        <w:t xml:space="preserve">li impianti alimentati a biomassa la partecipazione alle procedure di </w:t>
      </w:r>
      <w:r w:rsidR="005A0F7C">
        <w:t>di cui al presente decreto</w:t>
      </w:r>
      <w:r w:rsidRPr="001E7ABF">
        <w:t xml:space="preserve"> e l’accesso agli incentivi sono subordinati al rispetto delle seguenti caratteristiche:</w:t>
      </w:r>
    </w:p>
    <w:p w:rsidR="005F5C60" w:rsidRPr="003E14A7" w:rsidRDefault="000E147E" w:rsidP="00571469">
      <w:pPr>
        <w:pStyle w:val="Nessunaspaziatura"/>
        <w:numPr>
          <w:ilvl w:val="0"/>
          <w:numId w:val="15"/>
        </w:numPr>
        <w:spacing w:before="240"/>
        <w:ind w:left="426"/>
        <w:rPr>
          <w:szCs w:val="24"/>
        </w:rPr>
      </w:pPr>
      <w:r>
        <w:rPr>
          <w:szCs w:val="24"/>
        </w:rPr>
        <w:t>ne</w:t>
      </w:r>
      <w:r w:rsidR="005F5C60" w:rsidRPr="00C726E9">
        <w:rPr>
          <w:szCs w:val="24"/>
        </w:rPr>
        <w:t>gli impianti di taglia inferiore a 300</w:t>
      </w:r>
      <w:r w:rsidR="00CF0758">
        <w:rPr>
          <w:szCs w:val="24"/>
        </w:rPr>
        <w:t xml:space="preserve"> </w:t>
      </w:r>
      <w:r w:rsidR="005F5C60" w:rsidRPr="00C726E9">
        <w:rPr>
          <w:szCs w:val="24"/>
        </w:rPr>
        <w:t>kW</w:t>
      </w:r>
      <w:r>
        <w:rPr>
          <w:szCs w:val="24"/>
        </w:rPr>
        <w:t>,</w:t>
      </w:r>
      <w:r w:rsidR="00FE0DE2" w:rsidRPr="005929C1">
        <w:rPr>
          <w:szCs w:val="24"/>
        </w:rPr>
        <w:t xml:space="preserve"> </w:t>
      </w:r>
      <w:r w:rsidR="005748D7" w:rsidRPr="005929C1">
        <w:rPr>
          <w:szCs w:val="24"/>
        </w:rPr>
        <w:t xml:space="preserve">l’energia termica prodotta </w:t>
      </w:r>
      <w:r w:rsidR="005748D7" w:rsidRPr="00724A67">
        <w:rPr>
          <w:szCs w:val="24"/>
        </w:rPr>
        <w:t>è recuperata ed è</w:t>
      </w:r>
      <w:r w:rsidR="005748D7" w:rsidRPr="00A53F4B">
        <w:rPr>
          <w:szCs w:val="24"/>
        </w:rPr>
        <w:t xml:space="preserve"> prioritariamente autoconsumata in sito, a servizio dei processi </w:t>
      </w:r>
      <w:r w:rsidR="005748D7" w:rsidRPr="003E14A7">
        <w:rPr>
          <w:szCs w:val="24"/>
        </w:rPr>
        <w:t xml:space="preserve">aziendali </w:t>
      </w:r>
      <w:r w:rsidR="005F5C60" w:rsidRPr="003E14A7">
        <w:rPr>
          <w:szCs w:val="24"/>
        </w:rPr>
        <w:t>e</w:t>
      </w:r>
      <w:r w:rsidRPr="003E14A7">
        <w:rPr>
          <w:szCs w:val="24"/>
        </w:rPr>
        <w:t>d è garantito il rispetto de</w:t>
      </w:r>
      <w:r w:rsidR="005F5C60" w:rsidRPr="003E14A7">
        <w:rPr>
          <w:szCs w:val="24"/>
        </w:rPr>
        <w:t>l limite di emissione per le polveri pari a 50 mg/Nm3 (tenore di ossigeno del 6%)</w:t>
      </w:r>
      <w:r w:rsidR="00FE0DE2" w:rsidRPr="003E14A7">
        <w:rPr>
          <w:szCs w:val="24"/>
        </w:rPr>
        <w:t>;</w:t>
      </w:r>
    </w:p>
    <w:p w:rsidR="001425D6" w:rsidRPr="003E14A7" w:rsidRDefault="001425D6" w:rsidP="00FF03FF">
      <w:pPr>
        <w:pStyle w:val="Nessunaspaziatura"/>
        <w:numPr>
          <w:ilvl w:val="0"/>
          <w:numId w:val="15"/>
        </w:numPr>
        <w:ind w:left="426"/>
        <w:rPr>
          <w:u w:val="single"/>
        </w:rPr>
      </w:pPr>
      <w:r w:rsidRPr="003E14A7">
        <w:t xml:space="preserve">gli impianti utilizzano sottoprodotti di cui alla Tabella 2, Parte A, allegata al presente decreto per almeno l’80% e per l’eventuale quota residua prodotti di cui alla Tabella 2, Parte B, </w:t>
      </w:r>
      <w:r w:rsidRPr="003E14A7">
        <w:rPr>
          <w:u w:val="single"/>
        </w:rPr>
        <w:t>in entrambi i casi in assenza di trasformazione in pellet;</w:t>
      </w:r>
    </w:p>
    <w:p w:rsidR="001425D6" w:rsidRPr="003E14A7" w:rsidRDefault="001425D6" w:rsidP="00FF03FF">
      <w:pPr>
        <w:pStyle w:val="Nessunaspaziatura"/>
        <w:numPr>
          <w:ilvl w:val="0"/>
          <w:numId w:val="15"/>
        </w:numPr>
        <w:ind w:left="426"/>
      </w:pPr>
      <w:r w:rsidRPr="003E14A7">
        <w:t>i sottoprodotti di cui alla Tabella 2, Parte A, nonché i prodotti di cui alla Tabella 2, Parte B, sono approvvigionati dalle aziende realizzatrici degli impianti con accordi che identificano le aree geografiche e i siti di provenienza dei medesimi prodotti e sottoprodotti;</w:t>
      </w:r>
    </w:p>
    <w:p w:rsidR="001425D6" w:rsidRPr="003E14A7" w:rsidRDefault="001425D6" w:rsidP="00FF03FF">
      <w:pPr>
        <w:pStyle w:val="Nessunaspaziatura"/>
        <w:numPr>
          <w:ilvl w:val="0"/>
          <w:numId w:val="15"/>
        </w:numPr>
        <w:ind w:left="426"/>
      </w:pPr>
      <w:r w:rsidRPr="003E14A7">
        <w:t xml:space="preserve">i sottoprodotti e i prodotti impiegati garantiscono, rispetto al combustibile fossile di riferimento, un risparmio emissivo di gas a effetto serra pari almeno al 70% come deducibile dai valori </w:t>
      </w:r>
      <w:r w:rsidRPr="003E14A7">
        <w:rPr>
          <w:i/>
        </w:rPr>
        <w:t>standard</w:t>
      </w:r>
      <w:r w:rsidRPr="003E14A7">
        <w:t xml:space="preserve"> applicabili per la produzione di energia elettrica di cui all’Allegato VI</w:t>
      </w:r>
      <w:r w:rsidR="002075B2" w:rsidRPr="003E14A7">
        <w:t>I</w:t>
      </w:r>
      <w:r w:rsidRPr="003E14A7">
        <w:t>, Parte A</w:t>
      </w:r>
      <w:r w:rsidR="002075B2" w:rsidRPr="003E14A7">
        <w:t>1</w:t>
      </w:r>
      <w:r w:rsidRPr="003E14A7">
        <w:t xml:space="preserve">, del </w:t>
      </w:r>
      <w:r w:rsidR="002075B2" w:rsidRPr="003E14A7">
        <w:t>decreto legislativo</w:t>
      </w:r>
      <w:r w:rsidR="001F3FAF" w:rsidRPr="003E14A7">
        <w:t xml:space="preserve"> n. 199 del 2021</w:t>
      </w:r>
      <w:r w:rsidRPr="003E14A7">
        <w:t xml:space="preserve">, </w:t>
      </w:r>
      <w:r w:rsidRPr="003E14A7">
        <w:rPr>
          <w:color w:val="000000"/>
        </w:rPr>
        <w:t>prendendo come parametro di riferimento la distanza geografica in linea d’aria tra l’impianto e i siti di provenienza; per i sottoprodotti e i prodotti non espressamente indicati nel citato Allegato VI</w:t>
      </w:r>
      <w:r w:rsidR="00CF1326" w:rsidRPr="003E14A7">
        <w:rPr>
          <w:color w:val="000000"/>
        </w:rPr>
        <w:t>I</w:t>
      </w:r>
      <w:r w:rsidRPr="003E14A7">
        <w:rPr>
          <w:color w:val="000000"/>
        </w:rPr>
        <w:t>, il suindicato risparmio emissivo di gas a effetto serra si intende rispettato quando la predetta distanza geografica è inferiore a 500 km</w:t>
      </w:r>
      <w:r w:rsidR="00F8642D">
        <w:rPr>
          <w:color w:val="000000"/>
        </w:rPr>
        <w:t>.</w:t>
      </w:r>
    </w:p>
    <w:p w:rsidR="001425D6" w:rsidRPr="00C726E9" w:rsidRDefault="004A6CDC" w:rsidP="008E24FD">
      <w:pPr>
        <w:pStyle w:val="Sottotitolo"/>
        <w:spacing w:before="360" w:after="0"/>
        <w:outlineLvl w:val="1"/>
        <w:rPr>
          <w:sz w:val="28"/>
          <w:szCs w:val="28"/>
        </w:rPr>
      </w:pPr>
      <w:r w:rsidRPr="00C726E9">
        <w:rPr>
          <w:sz w:val="28"/>
          <w:szCs w:val="28"/>
        </w:rPr>
        <w:t xml:space="preserve">3. </w:t>
      </w:r>
      <w:r w:rsidRPr="008E24FD">
        <w:rPr>
          <w:iCs/>
          <w:sz w:val="28"/>
          <w:szCs w:val="28"/>
        </w:rPr>
        <w:t>I</w:t>
      </w:r>
      <w:r w:rsidR="001425D6" w:rsidRPr="008E24FD">
        <w:rPr>
          <w:iCs/>
          <w:sz w:val="28"/>
          <w:szCs w:val="28"/>
        </w:rPr>
        <w:t>mpianti</w:t>
      </w:r>
      <w:r w:rsidR="001425D6" w:rsidRPr="00C726E9">
        <w:rPr>
          <w:sz w:val="28"/>
          <w:szCs w:val="28"/>
        </w:rPr>
        <w:t xml:space="preserve"> geotermoelettrici tradizionali con innovazioni</w:t>
      </w:r>
    </w:p>
    <w:p w:rsidR="001425D6" w:rsidRPr="001E7ABF" w:rsidRDefault="001425D6" w:rsidP="001425D6">
      <w:pPr>
        <w:tabs>
          <w:tab w:val="left" w:pos="1710"/>
        </w:tabs>
        <w:suppressAutoHyphens w:val="0"/>
        <w:overflowPunct/>
        <w:autoSpaceDE/>
        <w:autoSpaceDN/>
        <w:adjustRightInd/>
        <w:spacing w:before="240"/>
        <w:textAlignment w:val="auto"/>
        <w:rPr>
          <w:szCs w:val="24"/>
        </w:rPr>
      </w:pPr>
      <w:r w:rsidRPr="001E7ABF">
        <w:t xml:space="preserve">1. </w:t>
      </w:r>
      <w:r w:rsidR="009F68D8">
        <w:t>A</w:t>
      </w:r>
      <w:r w:rsidRPr="001E7ABF">
        <w:rPr>
          <w:szCs w:val="24"/>
        </w:rPr>
        <w:t xml:space="preserve">ccedono agli incentivi di cui al </w:t>
      </w:r>
      <w:r w:rsidRPr="005929C1">
        <w:rPr>
          <w:szCs w:val="24"/>
        </w:rPr>
        <w:t>presente decreto gli impianti geotermoelettrici tradizionali</w:t>
      </w:r>
      <w:r w:rsidRPr="00C726E9">
        <w:rPr>
          <w:szCs w:val="24"/>
        </w:rPr>
        <w:t xml:space="preserve"> </w:t>
      </w:r>
      <w:r w:rsidR="001E0CE2" w:rsidRPr="00C726E9">
        <w:rPr>
          <w:szCs w:val="24"/>
        </w:rPr>
        <w:t xml:space="preserve">che rispettano </w:t>
      </w:r>
      <w:r w:rsidRPr="005929C1">
        <w:rPr>
          <w:szCs w:val="24"/>
        </w:rPr>
        <w:t>le seguenti prescrizioni min</w:t>
      </w:r>
      <w:r w:rsidRPr="001E7ABF">
        <w:rPr>
          <w:szCs w:val="24"/>
        </w:rPr>
        <w:t>ime:</w:t>
      </w:r>
    </w:p>
    <w:p w:rsidR="00036F09" w:rsidRPr="001E7ABF" w:rsidRDefault="00036F09" w:rsidP="00571469">
      <w:pPr>
        <w:pStyle w:val="Paragrafoelenco"/>
        <w:numPr>
          <w:ilvl w:val="0"/>
          <w:numId w:val="14"/>
        </w:numPr>
        <w:tabs>
          <w:tab w:val="left" w:pos="1710"/>
        </w:tabs>
        <w:suppressAutoHyphens w:val="0"/>
        <w:overflowPunct/>
        <w:autoSpaceDE/>
        <w:autoSpaceDN/>
        <w:adjustRightInd/>
        <w:spacing w:before="240"/>
        <w:ind w:left="426"/>
        <w:textAlignment w:val="auto"/>
        <w:rPr>
          <w:szCs w:val="24"/>
        </w:rPr>
      </w:pPr>
      <w:r w:rsidRPr="001E7ABF">
        <w:rPr>
          <w:szCs w:val="24"/>
        </w:rPr>
        <w:t>i valori limite di emissione di H</w:t>
      </w:r>
      <w:r w:rsidRPr="001E7ABF">
        <w:rPr>
          <w:szCs w:val="24"/>
          <w:vertAlign w:val="subscript"/>
        </w:rPr>
        <w:t>2</w:t>
      </w:r>
      <w:r w:rsidRPr="001E7ABF">
        <w:rPr>
          <w:szCs w:val="24"/>
        </w:rPr>
        <w:t>S e H</w:t>
      </w:r>
      <w:r w:rsidRPr="001E7ABF">
        <w:rPr>
          <w:szCs w:val="24"/>
          <w:vertAlign w:val="subscript"/>
        </w:rPr>
        <w:t xml:space="preserve">g </w:t>
      </w:r>
      <w:r w:rsidRPr="001E7ABF">
        <w:rPr>
          <w:szCs w:val="24"/>
        </w:rPr>
        <w:t>pari al 70% di quelli indicati nell’allegato B alla legge regionale Toscana 5 febbraio 2019, n. 7;</w:t>
      </w:r>
    </w:p>
    <w:p w:rsidR="00036F09" w:rsidRPr="001E7ABF" w:rsidRDefault="00036F09" w:rsidP="00FF03FF">
      <w:pPr>
        <w:pStyle w:val="Paragrafoelenco"/>
        <w:numPr>
          <w:ilvl w:val="0"/>
          <w:numId w:val="14"/>
        </w:numPr>
        <w:tabs>
          <w:tab w:val="left" w:pos="1710"/>
        </w:tabs>
        <w:suppressAutoHyphens w:val="0"/>
        <w:overflowPunct/>
        <w:autoSpaceDE/>
        <w:autoSpaceDN/>
        <w:adjustRightInd/>
        <w:ind w:left="426"/>
        <w:textAlignment w:val="auto"/>
        <w:rPr>
          <w:szCs w:val="24"/>
        </w:rPr>
      </w:pPr>
      <w:r w:rsidRPr="001E7ABF">
        <w:rPr>
          <w:szCs w:val="24"/>
        </w:rPr>
        <w:t>abbattimento delle emissioni di NH</w:t>
      </w:r>
      <w:r w:rsidRPr="001E7ABF">
        <w:rPr>
          <w:szCs w:val="24"/>
          <w:vertAlign w:val="subscript"/>
        </w:rPr>
        <w:t xml:space="preserve">3 </w:t>
      </w:r>
      <w:r w:rsidRPr="001E7ABF">
        <w:rPr>
          <w:szCs w:val="24"/>
        </w:rPr>
        <w:t>pari almeno al 75% rispetto al contenuto di NH</w:t>
      </w:r>
      <w:r w:rsidRPr="001E7ABF">
        <w:rPr>
          <w:szCs w:val="24"/>
          <w:vertAlign w:val="subscript"/>
        </w:rPr>
        <w:t xml:space="preserve">3 </w:t>
      </w:r>
      <w:r w:rsidRPr="001E7ABF">
        <w:rPr>
          <w:szCs w:val="24"/>
        </w:rPr>
        <w:t>del fluido in ingresso alla centrale</w:t>
      </w:r>
      <w:r>
        <w:rPr>
          <w:szCs w:val="24"/>
        </w:rPr>
        <w:t>;</w:t>
      </w:r>
    </w:p>
    <w:p w:rsidR="001425D6" w:rsidRDefault="001425D6" w:rsidP="00FF03FF">
      <w:pPr>
        <w:pStyle w:val="Paragrafoelenco"/>
        <w:numPr>
          <w:ilvl w:val="0"/>
          <w:numId w:val="14"/>
        </w:numPr>
        <w:tabs>
          <w:tab w:val="left" w:pos="1710"/>
        </w:tabs>
        <w:suppressAutoHyphens w:val="0"/>
        <w:overflowPunct/>
        <w:autoSpaceDE/>
        <w:autoSpaceDN/>
        <w:adjustRightInd/>
        <w:ind w:left="426"/>
        <w:textAlignment w:val="auto"/>
        <w:rPr>
          <w:szCs w:val="24"/>
        </w:rPr>
      </w:pPr>
      <w:r w:rsidRPr="001E7ABF">
        <w:rPr>
          <w:szCs w:val="24"/>
        </w:rPr>
        <w:lastRenderedPageBreak/>
        <w:t>rispetto dei requisiti minimi di esercizio così come definiti dall’allegato A alla legge regionale Toscana 5 febbraio 2019, n. 7</w:t>
      </w:r>
      <w:r w:rsidR="00036F09">
        <w:rPr>
          <w:szCs w:val="24"/>
        </w:rPr>
        <w:t>.</w:t>
      </w:r>
    </w:p>
    <w:p w:rsidR="00DD7D38" w:rsidRDefault="00571469" w:rsidP="00571469">
      <w:pPr>
        <w:tabs>
          <w:tab w:val="left" w:pos="1710"/>
        </w:tabs>
        <w:suppressAutoHyphens w:val="0"/>
        <w:overflowPunct/>
        <w:autoSpaceDE/>
        <w:autoSpaceDN/>
        <w:adjustRightInd/>
        <w:spacing w:before="240"/>
        <w:ind w:left="66"/>
        <w:textAlignment w:val="auto"/>
        <w:rPr>
          <w:szCs w:val="24"/>
        </w:rPr>
      </w:pPr>
      <w:r>
        <w:rPr>
          <w:szCs w:val="24"/>
        </w:rPr>
        <w:t>2</w:t>
      </w:r>
      <w:r w:rsidR="00DD7D38">
        <w:rPr>
          <w:szCs w:val="24"/>
        </w:rPr>
        <w:t xml:space="preserve">. Per </w:t>
      </w:r>
      <w:r w:rsidR="002C2755">
        <w:rPr>
          <w:szCs w:val="24"/>
        </w:rPr>
        <w:t xml:space="preserve">gli interventi di rifacimento, ai fini </w:t>
      </w:r>
      <w:r w:rsidR="0034443B">
        <w:rPr>
          <w:szCs w:val="24"/>
        </w:rPr>
        <w:t>dell’applicazione dell’allegato 2 del DM 6 luglio 2012,</w:t>
      </w:r>
      <w:r w:rsidR="00DD7D38">
        <w:rPr>
          <w:szCs w:val="24"/>
        </w:rPr>
        <w:t xml:space="preserve"> si assume un costo medio di riferimento per impianti a nuovo pari a 4600 €/kW.  </w:t>
      </w:r>
    </w:p>
    <w:p w:rsidR="001425D6" w:rsidRPr="001E7ABF" w:rsidRDefault="005929C1" w:rsidP="008E24FD">
      <w:pPr>
        <w:pStyle w:val="Sottotitolo"/>
        <w:spacing w:before="360" w:after="0"/>
        <w:outlineLvl w:val="1"/>
        <w:rPr>
          <w:i/>
          <w:iCs/>
          <w:szCs w:val="24"/>
        </w:rPr>
      </w:pPr>
      <w:r>
        <w:rPr>
          <w:sz w:val="28"/>
          <w:szCs w:val="28"/>
        </w:rPr>
        <w:t xml:space="preserve">4. </w:t>
      </w:r>
      <w:r w:rsidRPr="008E24FD">
        <w:rPr>
          <w:iCs/>
          <w:sz w:val="28"/>
          <w:szCs w:val="28"/>
        </w:rPr>
        <w:t>I</w:t>
      </w:r>
      <w:r w:rsidR="001425D6" w:rsidRPr="008E24FD">
        <w:rPr>
          <w:iCs/>
          <w:sz w:val="28"/>
          <w:szCs w:val="28"/>
        </w:rPr>
        <w:t>mpianti</w:t>
      </w:r>
      <w:r w:rsidR="001425D6" w:rsidRPr="00C726E9">
        <w:rPr>
          <w:sz w:val="28"/>
          <w:szCs w:val="28"/>
        </w:rPr>
        <w:t xml:space="preserve"> geotermoelettrici a emissioni nulle</w:t>
      </w:r>
    </w:p>
    <w:p w:rsidR="00D97FF6" w:rsidRDefault="00A53F4B" w:rsidP="001425D6">
      <w:pPr>
        <w:spacing w:before="240"/>
      </w:pPr>
      <w:r>
        <w:t xml:space="preserve">1. </w:t>
      </w:r>
      <w:r w:rsidR="005929C1">
        <w:t>A</w:t>
      </w:r>
      <w:r w:rsidR="001425D6" w:rsidRPr="001E7ABF">
        <w:t xml:space="preserve">ccedono agli incentivi </w:t>
      </w:r>
      <w:r w:rsidR="001425D6" w:rsidRPr="001E7ABF">
        <w:rPr>
          <w:szCs w:val="24"/>
        </w:rPr>
        <w:t xml:space="preserve">di cui al presente decreto </w:t>
      </w:r>
      <w:r w:rsidR="001425D6" w:rsidRPr="001E7ABF">
        <w:t>gli impianti geotermoelettrici a emissioni nulle che</w:t>
      </w:r>
      <w:r w:rsidR="00D97FF6">
        <w:t>:</w:t>
      </w:r>
    </w:p>
    <w:p w:rsidR="00D97FF6" w:rsidRDefault="001425D6" w:rsidP="00571469">
      <w:pPr>
        <w:pStyle w:val="Paragrafoelenco"/>
        <w:numPr>
          <w:ilvl w:val="0"/>
          <w:numId w:val="28"/>
        </w:numPr>
        <w:spacing w:before="240"/>
        <w:ind w:left="426"/>
      </w:pPr>
      <w:r w:rsidRPr="001E7ABF">
        <w:t xml:space="preserve">utilizzano fluidi geotermici con temperatura compresa tra 151 °C e 235 °C e </w:t>
      </w:r>
    </w:p>
    <w:p w:rsidR="001425D6" w:rsidRPr="001E7ABF" w:rsidRDefault="00D97FF6" w:rsidP="00571469">
      <w:pPr>
        <w:pStyle w:val="Paragrafoelenco"/>
        <w:numPr>
          <w:ilvl w:val="0"/>
          <w:numId w:val="28"/>
        </w:numPr>
        <w:ind w:left="426"/>
      </w:pPr>
      <w:r>
        <w:t xml:space="preserve">presentano una </w:t>
      </w:r>
      <w:r w:rsidR="001425D6" w:rsidRPr="001E7ABF">
        <w:t>concentrazione minima di gas in peso sul fluido geotermico maggiore dell’1%.</w:t>
      </w:r>
    </w:p>
    <w:p w:rsidR="001425D6" w:rsidRPr="00C726E9" w:rsidRDefault="00A53F4B" w:rsidP="008E24FD">
      <w:pPr>
        <w:pStyle w:val="Sottotitolo"/>
        <w:spacing w:before="360" w:after="0"/>
        <w:outlineLvl w:val="1"/>
        <w:rPr>
          <w:sz w:val="28"/>
          <w:szCs w:val="28"/>
        </w:rPr>
      </w:pPr>
      <w:r w:rsidRPr="00C726E9">
        <w:rPr>
          <w:sz w:val="28"/>
          <w:szCs w:val="28"/>
        </w:rPr>
        <w:t>5. I</w:t>
      </w:r>
      <w:r w:rsidR="001425D6" w:rsidRPr="00C726E9">
        <w:rPr>
          <w:sz w:val="28"/>
          <w:szCs w:val="28"/>
        </w:rPr>
        <w:t>mpianti solari termodinamici</w:t>
      </w:r>
    </w:p>
    <w:p w:rsidR="001425D6" w:rsidRDefault="00A53F4B" w:rsidP="00571469">
      <w:pPr>
        <w:pStyle w:val="Nessunaspaziatura"/>
        <w:spacing w:before="240"/>
      </w:pPr>
      <w:r>
        <w:t xml:space="preserve">1. Accedono agli incentivi di cui al presente decreto </w:t>
      </w:r>
      <w:r w:rsidR="001425D6" w:rsidRPr="001E7ABF">
        <w:t xml:space="preserve">gli impianti </w:t>
      </w:r>
      <w:r w:rsidR="001425D6">
        <w:t>solari termodinamici</w:t>
      </w:r>
      <w:r w:rsidR="001425D6" w:rsidRPr="001E7ABF">
        <w:t xml:space="preserve"> </w:t>
      </w:r>
      <w:r w:rsidR="001425D6">
        <w:t xml:space="preserve">anche ibridi </w:t>
      </w:r>
      <w:r w:rsidR="000C1D35">
        <w:t xml:space="preserve">che rispettano </w:t>
      </w:r>
      <w:r w:rsidR="001425D6">
        <w:t>i</w:t>
      </w:r>
      <w:r w:rsidR="001425D6" w:rsidRPr="001E7ABF">
        <w:t xml:space="preserve"> seguenti </w:t>
      </w:r>
      <w:r w:rsidR="001425D6">
        <w:t xml:space="preserve">requisiti: </w:t>
      </w:r>
    </w:p>
    <w:p w:rsidR="001425D6" w:rsidRPr="00865384" w:rsidRDefault="001425D6" w:rsidP="00571469">
      <w:pPr>
        <w:pStyle w:val="Nessunaspaziatura"/>
        <w:numPr>
          <w:ilvl w:val="0"/>
          <w:numId w:val="25"/>
        </w:numPr>
        <w:spacing w:before="240"/>
        <w:ind w:left="426"/>
      </w:pPr>
      <w:r w:rsidRPr="00865384">
        <w:t>sono dotati di sistema di accumulo termico con capacità nominale di accumulo non inferiore a: 1,5 kWh termici per ogni metro quadrato di superficie captante qualora la superficie captante sia superiore a 50.000 m2; 0,4 kWh termici per ogni metro quadrato di superficie captante qualora la superficie captante sia compresa tra 10.000 e 50.000 m2;</w:t>
      </w:r>
    </w:p>
    <w:p w:rsidR="0072102E" w:rsidRPr="00865384" w:rsidRDefault="001425D6" w:rsidP="00571469">
      <w:pPr>
        <w:pStyle w:val="Paragrafoelenco"/>
        <w:numPr>
          <w:ilvl w:val="0"/>
          <w:numId w:val="25"/>
        </w:numPr>
        <w:suppressAutoHyphens w:val="0"/>
        <w:overflowPunct/>
        <w:autoSpaceDE/>
        <w:autoSpaceDN/>
        <w:adjustRightInd/>
        <w:ind w:left="426"/>
        <w:textAlignment w:val="auto"/>
      </w:pPr>
      <w:r w:rsidRPr="00865384">
        <w:t>non utilizzano come fluido termovettore né come mezzo di accumulo sostanze e preparati classificati come molto tossici, tossici e nocivi ai sensi delle direttive 67/548/CEE e 1999/45/CE e loro successive modificazioni</w:t>
      </w:r>
      <w:r w:rsidR="00B64F7C" w:rsidRPr="00865384">
        <w:t>.</w:t>
      </w:r>
      <w:r w:rsidR="0072102E" w:rsidRPr="00865384">
        <w:br w:type="page"/>
      </w:r>
    </w:p>
    <w:p w:rsidR="00AA11B9" w:rsidRDefault="00AA11B9" w:rsidP="007E21C9">
      <w:pPr>
        <w:pStyle w:val="Nessunaspaziatura"/>
        <w:spacing w:before="240"/>
        <w:outlineLvl w:val="1"/>
        <w:rPr>
          <w:b/>
          <w:bCs/>
        </w:rPr>
      </w:pPr>
      <w:r>
        <w:rPr>
          <w:b/>
          <w:bCs/>
        </w:rPr>
        <w:lastRenderedPageBreak/>
        <w:t xml:space="preserve">Elenco </w:t>
      </w:r>
      <w:r w:rsidR="00403500" w:rsidRPr="001E7ABF">
        <w:rPr>
          <w:b/>
          <w:bCs/>
        </w:rPr>
        <w:t>sottoprodotti e dei prodotti di integrazione utilizzabili negli impianti a biogas</w:t>
      </w:r>
      <w:r w:rsidR="00403500">
        <w:rPr>
          <w:b/>
          <w:bCs/>
        </w:rPr>
        <w:t xml:space="preserve"> e </w:t>
      </w:r>
      <w:r w:rsidR="000940C9">
        <w:rPr>
          <w:b/>
          <w:bCs/>
        </w:rPr>
        <w:t>biomasse</w:t>
      </w:r>
    </w:p>
    <w:p w:rsidR="00AA11B9" w:rsidRDefault="00403500" w:rsidP="00247305">
      <w:pPr>
        <w:pStyle w:val="Nessunaspaziatura"/>
        <w:spacing w:before="240"/>
        <w:rPr>
          <w:szCs w:val="24"/>
        </w:rPr>
      </w:pPr>
      <w:r>
        <w:rPr>
          <w:szCs w:val="24"/>
        </w:rPr>
        <w:t>G</w:t>
      </w:r>
      <w:r w:rsidR="00AA11B9" w:rsidRPr="00522DB7">
        <w:rPr>
          <w:szCs w:val="24"/>
        </w:rPr>
        <w:t xml:space="preserve">li elenchi dei sottoprodotti e prodotti contenuti </w:t>
      </w:r>
      <w:r w:rsidR="00AA11B9">
        <w:rPr>
          <w:szCs w:val="24"/>
        </w:rPr>
        <w:t xml:space="preserve">nelle seguenti Tabelle </w:t>
      </w:r>
      <w:r>
        <w:rPr>
          <w:szCs w:val="24"/>
        </w:rPr>
        <w:t xml:space="preserve">1 e 2 </w:t>
      </w:r>
      <w:r w:rsidR="00AA11B9" w:rsidRPr="00522DB7">
        <w:rPr>
          <w:szCs w:val="24"/>
        </w:rPr>
        <w:t>sono da considerarsi esaustivi</w:t>
      </w:r>
      <w:r w:rsidR="00D07C85">
        <w:rPr>
          <w:szCs w:val="24"/>
        </w:rPr>
        <w:t xml:space="preserve"> e possono essere aggiornati</w:t>
      </w:r>
      <w:r w:rsidR="00712742">
        <w:rPr>
          <w:szCs w:val="24"/>
        </w:rPr>
        <w:t>, decorsi 2 anni dall’entrata in vigore del presente decreto,</w:t>
      </w:r>
      <w:r w:rsidR="00D07C85">
        <w:rPr>
          <w:szCs w:val="24"/>
        </w:rPr>
        <w:t xml:space="preserve"> </w:t>
      </w:r>
      <w:r w:rsidR="00712742">
        <w:rPr>
          <w:szCs w:val="24"/>
        </w:rPr>
        <w:t xml:space="preserve">dal </w:t>
      </w:r>
      <w:r w:rsidR="009A4918" w:rsidRPr="00522DB7">
        <w:rPr>
          <w:szCs w:val="24"/>
        </w:rPr>
        <w:t xml:space="preserve">Ministero </w:t>
      </w:r>
      <w:r w:rsidR="009A4918">
        <w:rPr>
          <w:szCs w:val="24"/>
        </w:rPr>
        <w:t>della transizione ecologica</w:t>
      </w:r>
      <w:r w:rsidR="009A4918" w:rsidRPr="009A4918">
        <w:rPr>
          <w:szCs w:val="24"/>
        </w:rPr>
        <w:t xml:space="preserve"> </w:t>
      </w:r>
      <w:r w:rsidR="00AA11B9" w:rsidRPr="00522DB7">
        <w:rPr>
          <w:szCs w:val="24"/>
        </w:rPr>
        <w:t xml:space="preserve">di concerto con il </w:t>
      </w:r>
      <w:r w:rsidR="009A4918" w:rsidRPr="00522DB7">
        <w:rPr>
          <w:szCs w:val="24"/>
        </w:rPr>
        <w:t xml:space="preserve">Ministero delle politiche agricole </w:t>
      </w:r>
      <w:r w:rsidR="009A4918">
        <w:rPr>
          <w:szCs w:val="24"/>
        </w:rPr>
        <w:t xml:space="preserve">alimentari </w:t>
      </w:r>
      <w:r w:rsidR="009A4918" w:rsidRPr="00522DB7">
        <w:rPr>
          <w:szCs w:val="24"/>
        </w:rPr>
        <w:t>e forestali</w:t>
      </w:r>
    </w:p>
    <w:p w:rsidR="007E21C9" w:rsidRPr="001E7ABF" w:rsidRDefault="007E21C9" w:rsidP="007E21C9">
      <w:pPr>
        <w:pStyle w:val="Nessunaspaziatura"/>
        <w:spacing w:before="240"/>
        <w:outlineLvl w:val="1"/>
        <w:rPr>
          <w:b/>
          <w:bCs/>
        </w:rPr>
      </w:pPr>
      <w:r w:rsidRPr="001E7ABF">
        <w:rPr>
          <w:b/>
          <w:bCs/>
        </w:rPr>
        <w:t>Tabella 1 - Elenco sottoprodotti e dei prodotti di integrazione utilizzabili negli impianti a biogas</w:t>
      </w:r>
    </w:p>
    <w:p w:rsidR="007E21C9" w:rsidRPr="001E7ABF" w:rsidRDefault="007E21C9" w:rsidP="007E21C9">
      <w:pPr>
        <w:pStyle w:val="Nessunaspaziatura"/>
        <w:spacing w:before="240"/>
        <w:rPr>
          <w:bCs/>
        </w:rPr>
      </w:pPr>
      <w:r w:rsidRPr="001E7ABF">
        <w:rPr>
          <w:bCs/>
        </w:rPr>
        <w:t>Parte A – Sottoprodotti</w:t>
      </w:r>
    </w:p>
    <w:p w:rsidR="007E21C9" w:rsidRPr="001E7ABF" w:rsidRDefault="007E21C9" w:rsidP="007E21C9">
      <w:pPr>
        <w:pStyle w:val="Nessunaspaziatura"/>
        <w:spacing w:before="240"/>
        <w:rPr>
          <w:bCs/>
        </w:rPr>
      </w:pPr>
      <w:r w:rsidRPr="001E7ABF">
        <w:rPr>
          <w:bCs/>
        </w:rPr>
        <w:t xml:space="preserve">Fermo restando il rispetto delle disposizioni di cui al decreto legislativo </w:t>
      </w:r>
      <w:r>
        <w:rPr>
          <w:bCs/>
        </w:rPr>
        <w:t xml:space="preserve">3 aprile 2006, </w:t>
      </w:r>
      <w:r w:rsidRPr="001E7ABF">
        <w:rPr>
          <w:bCs/>
        </w:rPr>
        <w:t xml:space="preserve">n. 152, del regolamento CE n. 1069/2009 e del regolamento CE n. 142/2011 si elencano di seguito i sottoprodotti utilizzabili negli impianti a biogas ai fini dell’accesso ai meccanismi incentivanti di cui al presente decreto </w:t>
      </w:r>
      <w:r w:rsidRPr="00865384">
        <w:rPr>
          <w:bCs/>
        </w:rPr>
        <w:t>integrati con quanto disposto dalla legge n. 211 del 28 dicembre 2015 (c.d. Collegato Ambientale</w:t>
      </w:r>
      <w:r w:rsidRPr="001E7ABF">
        <w:rPr>
          <w:bCs/>
        </w:rPr>
        <w:t xml:space="preserve">). </w:t>
      </w:r>
    </w:p>
    <w:p w:rsidR="007E21C9" w:rsidRPr="001E7ABF" w:rsidRDefault="007E21C9" w:rsidP="00FF03FF">
      <w:pPr>
        <w:pStyle w:val="Nessunaspaziatura"/>
        <w:numPr>
          <w:ilvl w:val="0"/>
          <w:numId w:val="4"/>
        </w:numPr>
        <w:spacing w:before="240"/>
        <w:ind w:left="567"/>
      </w:pPr>
      <w:r w:rsidRPr="001E7ABF">
        <w:t>Sottoprodotti di origine animale non destinati al consumo umano - Reg. Ce 1069/2009</w:t>
      </w:r>
    </w:p>
    <w:p w:rsidR="007E21C9" w:rsidRPr="001E7ABF" w:rsidRDefault="007E21C9" w:rsidP="00FF03FF">
      <w:pPr>
        <w:pStyle w:val="Nessunaspaziatura"/>
        <w:numPr>
          <w:ilvl w:val="0"/>
          <w:numId w:val="5"/>
        </w:numPr>
        <w:spacing w:before="240"/>
        <w:ind w:left="567"/>
        <w:rPr>
          <w:bCs/>
        </w:rPr>
      </w:pPr>
      <w:r w:rsidRPr="001E7ABF">
        <w:rPr>
          <w:bCs/>
        </w:rPr>
        <w:t>classificati di Cat. 3 (con specifiche di utilizzo previste nel regolamento stesso e nel regolamento CE n. 142/2011):</w:t>
      </w:r>
    </w:p>
    <w:p w:rsidR="007E21C9" w:rsidRPr="001E7ABF" w:rsidRDefault="007E21C9" w:rsidP="00FF03FF">
      <w:pPr>
        <w:pStyle w:val="Nessunaspaziatura"/>
        <w:numPr>
          <w:ilvl w:val="0"/>
          <w:numId w:val="6"/>
        </w:numPr>
        <w:ind w:left="851"/>
      </w:pPr>
      <w:r w:rsidRPr="001E7ABF">
        <w:t>carcasse e parti di animali macellati non destinati al consumo umano per motivi commerciali;</w:t>
      </w:r>
    </w:p>
    <w:p w:rsidR="007E21C9" w:rsidRPr="001E7ABF" w:rsidRDefault="007E21C9" w:rsidP="00FF03FF">
      <w:pPr>
        <w:pStyle w:val="Nessunaspaziatura"/>
        <w:numPr>
          <w:ilvl w:val="0"/>
          <w:numId w:val="6"/>
        </w:numPr>
        <w:ind w:left="851"/>
      </w:pPr>
      <w:r w:rsidRPr="001E7ABF">
        <w:t>prodotti di origine animale o prodotti alimentari contenenti prodotti di origine animale non più destinati al consumo umano per motivi commerciali o a causa di problemi di fabbricazione o difetti che non presentano rischi per la salute pubblica o degli animali;</w:t>
      </w:r>
    </w:p>
    <w:p w:rsidR="007E21C9" w:rsidRPr="001E7ABF" w:rsidRDefault="007E21C9" w:rsidP="00FF03FF">
      <w:pPr>
        <w:pStyle w:val="Nessunaspaziatura"/>
        <w:numPr>
          <w:ilvl w:val="0"/>
          <w:numId w:val="6"/>
        </w:numPr>
        <w:ind w:left="851"/>
      </w:pPr>
      <w:r w:rsidRPr="001E7ABF">
        <w:t>sottoprodotti di origine animale derivanti dalla fabbricazione di prodotti destinati al consumo umano, compresi ciccioli, fanghi da centrifuga o da separatore risultanti dalla lavorazione del latte;</w:t>
      </w:r>
    </w:p>
    <w:p w:rsidR="007E21C9" w:rsidRPr="001E7ABF" w:rsidRDefault="007E21C9" w:rsidP="00FF03FF">
      <w:pPr>
        <w:pStyle w:val="Nessunaspaziatura"/>
        <w:numPr>
          <w:ilvl w:val="0"/>
          <w:numId w:val="6"/>
        </w:numPr>
        <w:ind w:left="851"/>
      </w:pPr>
      <w:r w:rsidRPr="001E7ABF">
        <w:t>sangue che non presenti alcun sintomo di malattie trasmissibili all’uomo o agli animali;</w:t>
      </w:r>
    </w:p>
    <w:p w:rsidR="007E21C9" w:rsidRPr="001E7ABF" w:rsidRDefault="007E21C9" w:rsidP="00FF03FF">
      <w:pPr>
        <w:pStyle w:val="Nessunaspaziatura"/>
        <w:numPr>
          <w:ilvl w:val="0"/>
          <w:numId w:val="6"/>
        </w:numPr>
        <w:ind w:left="851"/>
      </w:pPr>
      <w:r w:rsidRPr="001E7ABF">
        <w:t>rifiuti da cucina e ristorazione;</w:t>
      </w:r>
    </w:p>
    <w:p w:rsidR="007E21C9" w:rsidRPr="001E7ABF" w:rsidRDefault="007E21C9" w:rsidP="00FF03FF">
      <w:pPr>
        <w:pStyle w:val="Nessunaspaziatura"/>
        <w:numPr>
          <w:ilvl w:val="0"/>
          <w:numId w:val="6"/>
        </w:numPr>
        <w:ind w:left="851"/>
      </w:pPr>
      <w:r w:rsidRPr="001E7ABF">
        <w:t>sottoprodotti di animali acquatici.</w:t>
      </w:r>
    </w:p>
    <w:p w:rsidR="007E21C9" w:rsidRPr="001E7ABF" w:rsidRDefault="007E21C9" w:rsidP="00FF03FF">
      <w:pPr>
        <w:pStyle w:val="Nessunaspaziatura"/>
        <w:numPr>
          <w:ilvl w:val="0"/>
          <w:numId w:val="5"/>
        </w:numPr>
        <w:spacing w:before="240"/>
        <w:ind w:left="709"/>
        <w:rPr>
          <w:bCs/>
        </w:rPr>
      </w:pPr>
      <w:r w:rsidRPr="001E7ABF">
        <w:rPr>
          <w:bCs/>
        </w:rPr>
        <w:t xml:space="preserve">classificati di Cat. 2 (con specifiche di utilizzo previste nel regolamento stesso e nel regolamento </w:t>
      </w:r>
      <w:r w:rsidRPr="001E7ABF">
        <w:rPr>
          <w:bCs/>
          <w:szCs w:val="24"/>
        </w:rPr>
        <w:t>CE</w:t>
      </w:r>
      <w:r w:rsidRPr="001E7ABF">
        <w:rPr>
          <w:bCs/>
        </w:rPr>
        <w:t xml:space="preserve"> n.</w:t>
      </w:r>
      <w:r w:rsidRPr="001E7ABF">
        <w:rPr>
          <w:bCs/>
          <w:szCs w:val="24"/>
        </w:rPr>
        <w:t xml:space="preserve"> 142/2011</w:t>
      </w:r>
      <w:r w:rsidRPr="001E7ABF">
        <w:rPr>
          <w:bCs/>
        </w:rPr>
        <w:t>):</w:t>
      </w:r>
    </w:p>
    <w:p w:rsidR="007E21C9" w:rsidRPr="001E7ABF" w:rsidRDefault="007E21C9" w:rsidP="00FF03FF">
      <w:pPr>
        <w:pStyle w:val="Nessunaspaziatura"/>
        <w:numPr>
          <w:ilvl w:val="0"/>
          <w:numId w:val="6"/>
        </w:numPr>
        <w:ind w:left="851"/>
      </w:pPr>
      <w:r w:rsidRPr="001E7ABF">
        <w:t>stallatico: escrementi e/o urina di animali, guano non mineralizzato;</w:t>
      </w:r>
    </w:p>
    <w:p w:rsidR="007E21C9" w:rsidRPr="001E7ABF" w:rsidRDefault="007E21C9" w:rsidP="00FF03FF">
      <w:pPr>
        <w:pStyle w:val="Nessunaspaziatura"/>
        <w:numPr>
          <w:ilvl w:val="0"/>
          <w:numId w:val="6"/>
        </w:numPr>
        <w:ind w:left="851"/>
      </w:pPr>
      <w:r w:rsidRPr="001E7ABF">
        <w:t>tubo digerente e suo contenuto;</w:t>
      </w:r>
    </w:p>
    <w:p w:rsidR="007E21C9" w:rsidRPr="001E7ABF" w:rsidRDefault="007E21C9" w:rsidP="00FF03FF">
      <w:pPr>
        <w:pStyle w:val="Nessunaspaziatura"/>
        <w:numPr>
          <w:ilvl w:val="0"/>
          <w:numId w:val="6"/>
        </w:numPr>
        <w:ind w:left="851"/>
      </w:pPr>
      <w:r w:rsidRPr="001E7ABF">
        <w:t>farine di carne e d’ossa;</w:t>
      </w:r>
    </w:p>
    <w:p w:rsidR="007E21C9" w:rsidRPr="001E7ABF" w:rsidRDefault="007E21C9" w:rsidP="00FF03FF">
      <w:pPr>
        <w:pStyle w:val="Nessunaspaziatura"/>
        <w:numPr>
          <w:ilvl w:val="0"/>
          <w:numId w:val="6"/>
        </w:numPr>
        <w:ind w:left="851"/>
      </w:pPr>
      <w:r w:rsidRPr="001E7ABF">
        <w:t>sottoprodotti di origine animale raccolti nell’ambito del trattamento delle acque reflue a norma delle misure di attuazione adottate conformemente all’articolo 27, primo comma, lettera c) del predetto regolamento:</w:t>
      </w:r>
    </w:p>
    <w:p w:rsidR="007E21C9" w:rsidRPr="001E7ABF" w:rsidRDefault="007E21C9" w:rsidP="00FF03FF">
      <w:pPr>
        <w:pStyle w:val="Nessunaspaziatura"/>
        <w:numPr>
          <w:ilvl w:val="0"/>
          <w:numId w:val="8"/>
        </w:numPr>
        <w:ind w:left="1134"/>
      </w:pPr>
      <w:r w:rsidRPr="001E7ABF">
        <w:t xml:space="preserve">da stabilimenti o impianti che trasformano materiali di categoria 2; o </w:t>
      </w:r>
    </w:p>
    <w:p w:rsidR="007E21C9" w:rsidRPr="001E7ABF" w:rsidRDefault="007E21C9" w:rsidP="00FF03FF">
      <w:pPr>
        <w:pStyle w:val="Nessunaspaziatura"/>
        <w:numPr>
          <w:ilvl w:val="0"/>
          <w:numId w:val="8"/>
        </w:numPr>
        <w:ind w:left="1134"/>
      </w:pPr>
      <w:r w:rsidRPr="001E7ABF">
        <w:t>da macelli diversi da quelli disciplinati dall’articolo 8, lettera e) del predetto regolamento.</w:t>
      </w:r>
    </w:p>
    <w:p w:rsidR="007E21C9" w:rsidRPr="001E7ABF" w:rsidRDefault="007E21C9" w:rsidP="00FF03FF">
      <w:pPr>
        <w:pStyle w:val="Nessunaspaziatura"/>
        <w:numPr>
          <w:ilvl w:val="0"/>
          <w:numId w:val="5"/>
        </w:numPr>
        <w:spacing w:before="240"/>
        <w:ind w:left="709"/>
        <w:rPr>
          <w:bCs/>
        </w:rPr>
      </w:pPr>
      <w:r w:rsidRPr="001E7ABF">
        <w:rPr>
          <w:bCs/>
        </w:rPr>
        <w:t>Tutti i sottoprodotti classificati di categoria 1 ed elencati all’articolo 8 del regolamento CE n. 1069/2009 (con specifiche di utilizzo previste nel regolamento stesso e nel regolamento CE n. 142/2011).</w:t>
      </w:r>
    </w:p>
    <w:p w:rsidR="007E21C9" w:rsidRPr="001E7ABF" w:rsidRDefault="007E21C9" w:rsidP="00FF03FF">
      <w:pPr>
        <w:pStyle w:val="Nessunaspaziatura"/>
        <w:numPr>
          <w:ilvl w:val="0"/>
          <w:numId w:val="4"/>
        </w:numPr>
        <w:spacing w:before="240"/>
        <w:ind w:left="567"/>
        <w:rPr>
          <w:szCs w:val="24"/>
        </w:rPr>
      </w:pPr>
      <w:r w:rsidRPr="001E7ABF">
        <w:t>Sottoprodotti</w:t>
      </w:r>
      <w:r w:rsidRPr="001E7ABF">
        <w:rPr>
          <w:szCs w:val="24"/>
        </w:rPr>
        <w:t xml:space="preserve"> provenienti da attività agricola e di allevamento</w:t>
      </w:r>
    </w:p>
    <w:p w:rsidR="007E21C9" w:rsidRPr="001E7ABF" w:rsidRDefault="007E21C9" w:rsidP="00FF03FF">
      <w:pPr>
        <w:pStyle w:val="Nessunaspaziatura"/>
        <w:numPr>
          <w:ilvl w:val="0"/>
          <w:numId w:val="20"/>
        </w:numPr>
        <w:spacing w:before="240"/>
        <w:ind w:left="709"/>
        <w:rPr>
          <w:bCs/>
        </w:rPr>
      </w:pPr>
      <w:r w:rsidRPr="001E7ABF">
        <w:rPr>
          <w:bCs/>
        </w:rPr>
        <w:t>effluenti zootecnici;</w:t>
      </w:r>
    </w:p>
    <w:p w:rsidR="007E21C9" w:rsidRPr="001E7ABF" w:rsidRDefault="007E21C9" w:rsidP="00FF03FF">
      <w:pPr>
        <w:pStyle w:val="Nessunaspaziatura"/>
        <w:numPr>
          <w:ilvl w:val="0"/>
          <w:numId w:val="20"/>
        </w:numPr>
        <w:ind w:left="709"/>
        <w:rPr>
          <w:bCs/>
        </w:rPr>
      </w:pPr>
      <w:r w:rsidRPr="001E7ABF">
        <w:rPr>
          <w:bCs/>
        </w:rPr>
        <w:t>paglia;</w:t>
      </w:r>
    </w:p>
    <w:p w:rsidR="007E21C9" w:rsidRPr="001E7ABF" w:rsidRDefault="007E21C9" w:rsidP="00FF03FF">
      <w:pPr>
        <w:pStyle w:val="Nessunaspaziatura"/>
        <w:numPr>
          <w:ilvl w:val="0"/>
          <w:numId w:val="20"/>
        </w:numPr>
        <w:ind w:left="709"/>
        <w:rPr>
          <w:bCs/>
        </w:rPr>
      </w:pPr>
      <w:r w:rsidRPr="001E7ABF">
        <w:rPr>
          <w:bCs/>
        </w:rPr>
        <w:t>stocchi;</w:t>
      </w:r>
    </w:p>
    <w:p w:rsidR="007E21C9" w:rsidRPr="001E7ABF" w:rsidRDefault="007E21C9" w:rsidP="00FF03FF">
      <w:pPr>
        <w:pStyle w:val="Nessunaspaziatura"/>
        <w:numPr>
          <w:ilvl w:val="0"/>
          <w:numId w:val="20"/>
        </w:numPr>
        <w:ind w:left="709"/>
        <w:rPr>
          <w:bCs/>
        </w:rPr>
      </w:pPr>
      <w:r w:rsidRPr="001E7ABF">
        <w:rPr>
          <w:bCs/>
        </w:rPr>
        <w:lastRenderedPageBreak/>
        <w:t>fieni e trucioli da lettiera.</w:t>
      </w:r>
    </w:p>
    <w:p w:rsidR="007E21C9" w:rsidRPr="001E7ABF" w:rsidRDefault="007E21C9" w:rsidP="00FF03FF">
      <w:pPr>
        <w:pStyle w:val="Nessunaspaziatura"/>
        <w:numPr>
          <w:ilvl w:val="0"/>
          <w:numId w:val="20"/>
        </w:numPr>
        <w:ind w:left="709"/>
        <w:rPr>
          <w:bCs/>
        </w:rPr>
      </w:pPr>
      <w:r w:rsidRPr="001E7ABF">
        <w:rPr>
          <w:bCs/>
        </w:rPr>
        <w:t>residui di campo delle aziende agricole.</w:t>
      </w:r>
    </w:p>
    <w:p w:rsidR="007E21C9" w:rsidRPr="001E7ABF" w:rsidRDefault="007E21C9" w:rsidP="00FF03FF">
      <w:pPr>
        <w:pStyle w:val="Nessunaspaziatura"/>
        <w:numPr>
          <w:ilvl w:val="0"/>
          <w:numId w:val="4"/>
        </w:numPr>
        <w:spacing w:before="240"/>
        <w:ind w:left="567"/>
        <w:rPr>
          <w:bCs/>
          <w:szCs w:val="24"/>
        </w:rPr>
      </w:pPr>
      <w:r w:rsidRPr="001E7ABF">
        <w:t>Sottoprodotti</w:t>
      </w:r>
      <w:r w:rsidRPr="001E7ABF">
        <w:rPr>
          <w:bCs/>
          <w:szCs w:val="24"/>
        </w:rPr>
        <w:t xml:space="preserve"> provenienti da attività alimentari ed agroindustriali </w:t>
      </w:r>
    </w:p>
    <w:p w:rsidR="007E21C9" w:rsidRPr="001E7ABF" w:rsidRDefault="007E21C9" w:rsidP="00FF03FF">
      <w:pPr>
        <w:pStyle w:val="Nessunaspaziatura"/>
        <w:numPr>
          <w:ilvl w:val="0"/>
          <w:numId w:val="7"/>
        </w:numPr>
        <w:spacing w:before="240"/>
      </w:pPr>
      <w:r w:rsidRPr="001E7ABF">
        <w:t>sottoprodotti della trasformazione del pomodoro: buccette, semini, bacche fuori misura;</w:t>
      </w:r>
    </w:p>
    <w:p w:rsidR="007E21C9" w:rsidRPr="001E7ABF" w:rsidRDefault="007E21C9" w:rsidP="00FF03FF">
      <w:pPr>
        <w:pStyle w:val="Nessunaspaziatura"/>
        <w:numPr>
          <w:ilvl w:val="0"/>
          <w:numId w:val="7"/>
        </w:numPr>
      </w:pPr>
      <w:r w:rsidRPr="001E7ABF">
        <w:t>sottoprodotti della trasformazione delle olive: sanse di oliva disoleata, sanse umide “bifasiche”, acque di vegetazione</w:t>
      </w:r>
    </w:p>
    <w:p w:rsidR="007E21C9" w:rsidRPr="001E7ABF" w:rsidRDefault="007E21C9" w:rsidP="00FF03FF">
      <w:pPr>
        <w:pStyle w:val="Nessunaspaziatura"/>
        <w:numPr>
          <w:ilvl w:val="0"/>
          <w:numId w:val="7"/>
        </w:numPr>
      </w:pPr>
      <w:r w:rsidRPr="001E7ABF">
        <w:t>sottoprodotti della trasformazione dell’uva: vinacce, graspi,</w:t>
      </w:r>
      <w:r w:rsidRPr="001E7ABF">
        <w:rPr>
          <w:b/>
          <w:color w:val="800000"/>
        </w:rPr>
        <w:t xml:space="preserve"> </w:t>
      </w:r>
      <w:r w:rsidRPr="001E7ABF">
        <w:t>buccette, vinaccioli e farine di vinaccioli;</w:t>
      </w:r>
    </w:p>
    <w:p w:rsidR="007E21C9" w:rsidRPr="001E7ABF" w:rsidRDefault="007E21C9" w:rsidP="00FF03FF">
      <w:pPr>
        <w:pStyle w:val="Nessunaspaziatura"/>
        <w:numPr>
          <w:ilvl w:val="0"/>
          <w:numId w:val="7"/>
        </w:numPr>
      </w:pPr>
      <w:r w:rsidRPr="001E7ABF">
        <w:t>sottoprodotti della trasformazione della frutta: derivanti da attività di condizionamento, spremitura, sbucciatura o detorsolatura, pastazzo di agrumi, noccioli, gusci;</w:t>
      </w:r>
    </w:p>
    <w:p w:rsidR="007E21C9" w:rsidRPr="001E7ABF" w:rsidRDefault="007E21C9" w:rsidP="00FF03FF">
      <w:pPr>
        <w:pStyle w:val="Nessunaspaziatura"/>
        <w:numPr>
          <w:ilvl w:val="0"/>
          <w:numId w:val="7"/>
        </w:numPr>
      </w:pPr>
      <w:r w:rsidRPr="001E7ABF">
        <w:t>sottoprodotti della trasformazione di ortaggi vari: condizionamento, sbucciatura, confezionamento;</w:t>
      </w:r>
    </w:p>
    <w:p w:rsidR="007E21C9" w:rsidRPr="001E7ABF" w:rsidRDefault="007E21C9" w:rsidP="00FF03FF">
      <w:pPr>
        <w:pStyle w:val="Nessunaspaziatura"/>
        <w:numPr>
          <w:ilvl w:val="0"/>
          <w:numId w:val="7"/>
        </w:numPr>
      </w:pPr>
      <w:r w:rsidRPr="001E7ABF">
        <w:t>sottoprodotti della trasformazione delle barbabietole da zucchero: borlande, melasso, polpe di bietola esauste essiccate, soppressate fresche, soppressate insilate;</w:t>
      </w:r>
    </w:p>
    <w:p w:rsidR="007E21C9" w:rsidRPr="001E7ABF" w:rsidRDefault="007E21C9" w:rsidP="00FF03FF">
      <w:pPr>
        <w:pStyle w:val="Nessunaspaziatura"/>
        <w:numPr>
          <w:ilvl w:val="0"/>
          <w:numId w:val="7"/>
        </w:numPr>
      </w:pPr>
      <w:r w:rsidRPr="001E7ABF">
        <w:t>sottoprodotti derivanti dalla lavorazione del risone: farinaccio, pula, lolla;</w:t>
      </w:r>
    </w:p>
    <w:p w:rsidR="007E21C9" w:rsidRPr="001E7ABF" w:rsidRDefault="007E21C9" w:rsidP="00FF03FF">
      <w:pPr>
        <w:pStyle w:val="Nessunaspaziatura"/>
        <w:numPr>
          <w:ilvl w:val="0"/>
          <w:numId w:val="7"/>
        </w:numPr>
      </w:pPr>
      <w:r w:rsidRPr="001E7ABF">
        <w:t>sottoprodotti derivanti dalla lavorazione dei cereali: farinaccio, farinetta, crusca, tritello, glutine, amido, semi spezzati;</w:t>
      </w:r>
    </w:p>
    <w:p w:rsidR="007E21C9" w:rsidRPr="001E7ABF" w:rsidRDefault="007E21C9" w:rsidP="00FF03FF">
      <w:pPr>
        <w:pStyle w:val="Nessunaspaziatura"/>
        <w:numPr>
          <w:ilvl w:val="0"/>
          <w:numId w:val="7"/>
        </w:numPr>
      </w:pPr>
      <w:r w:rsidRPr="001E7ABF">
        <w:t>pannello di spremitura di alga;</w:t>
      </w:r>
    </w:p>
    <w:p w:rsidR="007E21C9" w:rsidRPr="001E7ABF" w:rsidRDefault="007E21C9" w:rsidP="00FF03FF">
      <w:pPr>
        <w:pStyle w:val="Nessunaspaziatura"/>
        <w:numPr>
          <w:ilvl w:val="0"/>
          <w:numId w:val="7"/>
        </w:numPr>
      </w:pPr>
      <w:r w:rsidRPr="001E7ABF">
        <w:t>sottoprodotti delle lavorazioni ittiche;</w:t>
      </w:r>
    </w:p>
    <w:p w:rsidR="007E21C9" w:rsidRPr="001E7ABF" w:rsidRDefault="007E21C9" w:rsidP="00FF03FF">
      <w:pPr>
        <w:pStyle w:val="Nessunaspaziatura"/>
        <w:numPr>
          <w:ilvl w:val="0"/>
          <w:numId w:val="7"/>
        </w:numPr>
      </w:pPr>
      <w:r w:rsidRPr="001E7ABF">
        <w:t>sottoprodotti dell’industria della panificazione, della pasta alimentare, dell’industria dolciaria: sfridi di pasta, biscotti, altri prodotti da forno;</w:t>
      </w:r>
    </w:p>
    <w:p w:rsidR="007E21C9" w:rsidRPr="001E7ABF" w:rsidRDefault="007E21C9" w:rsidP="00FF03FF">
      <w:pPr>
        <w:pStyle w:val="Nessunaspaziatura"/>
        <w:numPr>
          <w:ilvl w:val="0"/>
          <w:numId w:val="7"/>
        </w:numPr>
      </w:pPr>
      <w:r w:rsidRPr="001E7ABF">
        <w:t>sottoprodotti della torrefazione del caffè;</w:t>
      </w:r>
    </w:p>
    <w:p w:rsidR="007E21C9" w:rsidRPr="001E7ABF" w:rsidRDefault="007E21C9" w:rsidP="00FF03FF">
      <w:pPr>
        <w:pStyle w:val="Nessunaspaziatura"/>
        <w:numPr>
          <w:ilvl w:val="0"/>
          <w:numId w:val="7"/>
        </w:numPr>
      </w:pPr>
      <w:r w:rsidRPr="001E7ABF">
        <w:t>sottoprodotti della lavorazione della birra;</w:t>
      </w:r>
    </w:p>
    <w:p w:rsidR="007E21C9" w:rsidRPr="001E7ABF" w:rsidRDefault="007E21C9" w:rsidP="00FF03FF">
      <w:pPr>
        <w:pStyle w:val="Nessunaspaziatura"/>
        <w:numPr>
          <w:ilvl w:val="0"/>
          <w:numId w:val="7"/>
        </w:numPr>
      </w:pPr>
      <w:r w:rsidRPr="001E7ABF">
        <w:t>sottoprodotti della lavorazione di frutti e semi oleosi: pannelli di germe di granoturco, lino, vinacciolo, terre decoloranti usate oleose, pezze e code di lavorazione di oli vegetali.</w:t>
      </w:r>
    </w:p>
    <w:p w:rsidR="007E21C9" w:rsidRPr="001E7ABF" w:rsidRDefault="007E21C9" w:rsidP="00FF03FF">
      <w:pPr>
        <w:pStyle w:val="Nessunaspaziatura"/>
        <w:numPr>
          <w:ilvl w:val="0"/>
          <w:numId w:val="10"/>
        </w:numPr>
      </w:pPr>
      <w:r w:rsidRPr="001E7ABF">
        <w:t>sottoprodotti della trasformazione degli zuccheri tramite fermentazione;</w:t>
      </w:r>
    </w:p>
    <w:p w:rsidR="007E21C9" w:rsidRPr="001E7ABF" w:rsidRDefault="007E21C9" w:rsidP="00FF03FF">
      <w:pPr>
        <w:pStyle w:val="Nessunaspaziatura"/>
        <w:numPr>
          <w:ilvl w:val="0"/>
          <w:numId w:val="10"/>
        </w:numPr>
      </w:pPr>
      <w:r w:rsidRPr="001E7ABF">
        <w:t>sottoprodotti della produzione e della trasformazione degli zuccheri da biomasse non alimentari;</w:t>
      </w:r>
    </w:p>
    <w:p w:rsidR="007E21C9" w:rsidRPr="001E7ABF" w:rsidRDefault="007E21C9" w:rsidP="00FF03FF">
      <w:pPr>
        <w:pStyle w:val="Nessunaspaziatura"/>
        <w:numPr>
          <w:ilvl w:val="0"/>
          <w:numId w:val="10"/>
        </w:numPr>
      </w:pPr>
      <w:r w:rsidRPr="001E7ABF">
        <w:t>sottoprodotti della lavorazione o raffinazione di oli vegetali.</w:t>
      </w:r>
    </w:p>
    <w:p w:rsidR="007E21C9" w:rsidRPr="001E7ABF" w:rsidRDefault="007E21C9" w:rsidP="007E21C9">
      <w:pPr>
        <w:pStyle w:val="Nessunaspaziatura"/>
        <w:spacing w:before="240"/>
        <w:ind w:left="360"/>
      </w:pPr>
      <w:r w:rsidRPr="001E7ABF">
        <w:t xml:space="preserve">Parte B – Prodotti </w:t>
      </w:r>
    </w:p>
    <w:p w:rsidR="007E21C9" w:rsidRPr="00983911" w:rsidRDefault="007E21C9" w:rsidP="00FF03FF">
      <w:pPr>
        <w:pStyle w:val="Nessunaspaziatura"/>
        <w:numPr>
          <w:ilvl w:val="0"/>
          <w:numId w:val="21"/>
        </w:numPr>
        <w:spacing w:before="240"/>
        <w:ind w:left="567"/>
      </w:pPr>
      <w:r w:rsidRPr="001E7ABF">
        <w:t xml:space="preserve">Specie </w:t>
      </w:r>
      <w:r w:rsidRPr="00983911">
        <w:t>Erbacee annuali</w:t>
      </w:r>
    </w:p>
    <w:p w:rsidR="007E21C9" w:rsidRPr="00983911" w:rsidRDefault="007E21C9" w:rsidP="00FF03FF">
      <w:pPr>
        <w:pStyle w:val="Nessunaspaziatura"/>
        <w:numPr>
          <w:ilvl w:val="0"/>
          <w:numId w:val="22"/>
        </w:numPr>
        <w:spacing w:before="240"/>
        <w:ind w:left="709"/>
        <w:rPr>
          <w:color w:val="000000"/>
          <w:szCs w:val="24"/>
        </w:rPr>
      </w:pPr>
      <w:r w:rsidRPr="00983911">
        <w:rPr>
          <w:color w:val="000000"/>
          <w:szCs w:val="24"/>
        </w:rPr>
        <w:t>Avena (Avena sativa)</w:t>
      </w:r>
    </w:p>
    <w:p w:rsidR="007E21C9" w:rsidRPr="00983911" w:rsidRDefault="007E21C9" w:rsidP="00FF03FF">
      <w:pPr>
        <w:pStyle w:val="Nessunaspaziatura"/>
        <w:numPr>
          <w:ilvl w:val="0"/>
          <w:numId w:val="22"/>
        </w:numPr>
        <w:ind w:left="709"/>
        <w:rPr>
          <w:color w:val="000000"/>
          <w:szCs w:val="24"/>
        </w:rPr>
      </w:pPr>
      <w:r w:rsidRPr="00983911">
        <w:rPr>
          <w:color w:val="000000"/>
          <w:szCs w:val="24"/>
        </w:rPr>
        <w:t>Barbabietola da zucchero (Beta vulgaris)</w:t>
      </w:r>
    </w:p>
    <w:p w:rsidR="007E21C9" w:rsidRPr="001E7ABF" w:rsidRDefault="007E21C9" w:rsidP="00FF03FF">
      <w:pPr>
        <w:pStyle w:val="Nessunaspaziatura"/>
        <w:numPr>
          <w:ilvl w:val="0"/>
          <w:numId w:val="22"/>
        </w:numPr>
        <w:ind w:left="709"/>
        <w:rPr>
          <w:color w:val="000000"/>
          <w:szCs w:val="24"/>
        </w:rPr>
      </w:pPr>
      <w:r w:rsidRPr="00983911">
        <w:rPr>
          <w:color w:val="000000"/>
          <w:szCs w:val="24"/>
        </w:rPr>
        <w:t>Canapa da fibra (Cannabis</w:t>
      </w:r>
      <w:r w:rsidRPr="001E7ABF">
        <w:rPr>
          <w:color w:val="000000"/>
          <w:szCs w:val="24"/>
        </w:rPr>
        <w:t xml:space="preserve"> spp.)</w:t>
      </w:r>
    </w:p>
    <w:p w:rsidR="007E21C9" w:rsidRPr="001E7ABF" w:rsidRDefault="007E21C9" w:rsidP="00FF03FF">
      <w:pPr>
        <w:pStyle w:val="Nessunaspaziatura"/>
        <w:numPr>
          <w:ilvl w:val="0"/>
          <w:numId w:val="22"/>
        </w:numPr>
        <w:ind w:left="709"/>
        <w:rPr>
          <w:color w:val="000000"/>
          <w:szCs w:val="24"/>
        </w:rPr>
      </w:pPr>
      <w:r w:rsidRPr="001E7ABF">
        <w:rPr>
          <w:color w:val="000000"/>
          <w:szCs w:val="24"/>
        </w:rPr>
        <w:t>Canapa del Bengala (Crotalaria juncea L.)</w:t>
      </w:r>
    </w:p>
    <w:p w:rsidR="007E21C9" w:rsidRPr="001E7ABF" w:rsidRDefault="007E21C9" w:rsidP="00FF03FF">
      <w:pPr>
        <w:pStyle w:val="Nessunaspaziatura"/>
        <w:numPr>
          <w:ilvl w:val="0"/>
          <w:numId w:val="22"/>
        </w:numPr>
        <w:ind w:left="709"/>
        <w:rPr>
          <w:color w:val="000000"/>
          <w:szCs w:val="24"/>
        </w:rPr>
      </w:pPr>
      <w:r w:rsidRPr="001E7ABF">
        <w:rPr>
          <w:color w:val="000000"/>
          <w:szCs w:val="24"/>
        </w:rPr>
        <w:t>Favino (Vicia faba minor)</w:t>
      </w:r>
    </w:p>
    <w:p w:rsidR="007E21C9" w:rsidRPr="001E7ABF" w:rsidRDefault="007E21C9" w:rsidP="00FF03FF">
      <w:pPr>
        <w:pStyle w:val="Nessunaspaziatura"/>
        <w:numPr>
          <w:ilvl w:val="0"/>
          <w:numId w:val="22"/>
        </w:numPr>
        <w:ind w:left="709"/>
        <w:rPr>
          <w:color w:val="000000"/>
          <w:szCs w:val="24"/>
        </w:rPr>
      </w:pPr>
      <w:r w:rsidRPr="001E7ABF">
        <w:rPr>
          <w:color w:val="000000"/>
          <w:szCs w:val="24"/>
        </w:rPr>
        <w:t>Insilato di mais di secondo raccolto (Zea mays L.)</w:t>
      </w:r>
    </w:p>
    <w:p w:rsidR="007E21C9" w:rsidRPr="001E7ABF" w:rsidRDefault="007E21C9" w:rsidP="00FF03FF">
      <w:pPr>
        <w:pStyle w:val="Nessunaspaziatura"/>
        <w:numPr>
          <w:ilvl w:val="0"/>
          <w:numId w:val="22"/>
        </w:numPr>
        <w:ind w:left="709"/>
        <w:rPr>
          <w:color w:val="000000"/>
          <w:szCs w:val="24"/>
        </w:rPr>
      </w:pPr>
      <w:r w:rsidRPr="001E7ABF">
        <w:rPr>
          <w:color w:val="000000"/>
          <w:szCs w:val="24"/>
        </w:rPr>
        <w:t>Loiessa ( Lolium spp.)</w:t>
      </w:r>
    </w:p>
    <w:p w:rsidR="007E21C9" w:rsidRPr="001E7ABF" w:rsidRDefault="007E21C9" w:rsidP="00FF03FF">
      <w:pPr>
        <w:pStyle w:val="Nessunaspaziatura"/>
        <w:numPr>
          <w:ilvl w:val="0"/>
          <w:numId w:val="22"/>
        </w:numPr>
        <w:ind w:left="709"/>
        <w:rPr>
          <w:color w:val="000000"/>
          <w:szCs w:val="24"/>
        </w:rPr>
      </w:pPr>
      <w:r w:rsidRPr="001E7ABF">
        <w:rPr>
          <w:color w:val="000000"/>
          <w:szCs w:val="24"/>
        </w:rPr>
        <w:t>Orzo (Hordeum vulgare)</w:t>
      </w:r>
    </w:p>
    <w:p w:rsidR="007E21C9" w:rsidRPr="001E7ABF" w:rsidRDefault="007E21C9" w:rsidP="00FF03FF">
      <w:pPr>
        <w:pStyle w:val="Nessunaspaziatura"/>
        <w:numPr>
          <w:ilvl w:val="0"/>
          <w:numId w:val="22"/>
        </w:numPr>
        <w:ind w:left="709"/>
        <w:rPr>
          <w:color w:val="000000"/>
          <w:szCs w:val="24"/>
        </w:rPr>
      </w:pPr>
      <w:r w:rsidRPr="001E7ABF">
        <w:rPr>
          <w:color w:val="000000"/>
          <w:szCs w:val="24"/>
        </w:rPr>
        <w:t>Rapa invernale  (Brassica rapa L.)</w:t>
      </w:r>
    </w:p>
    <w:p w:rsidR="007E21C9" w:rsidRPr="001E7ABF" w:rsidRDefault="007E21C9" w:rsidP="00FF03FF">
      <w:pPr>
        <w:pStyle w:val="Nessunaspaziatura"/>
        <w:numPr>
          <w:ilvl w:val="0"/>
          <w:numId w:val="22"/>
        </w:numPr>
        <w:ind w:left="709"/>
        <w:rPr>
          <w:color w:val="000000"/>
          <w:szCs w:val="24"/>
        </w:rPr>
      </w:pPr>
      <w:r w:rsidRPr="001E7ABF">
        <w:rPr>
          <w:color w:val="000000"/>
          <w:szCs w:val="24"/>
        </w:rPr>
        <w:t>Ricino  (Ricinus communis L.)</w:t>
      </w:r>
    </w:p>
    <w:p w:rsidR="007E21C9" w:rsidRPr="001E7ABF" w:rsidRDefault="007E21C9" w:rsidP="00FF03FF">
      <w:pPr>
        <w:pStyle w:val="Nessunaspaziatura"/>
        <w:numPr>
          <w:ilvl w:val="0"/>
          <w:numId w:val="22"/>
        </w:numPr>
        <w:ind w:left="709"/>
        <w:rPr>
          <w:color w:val="000000"/>
          <w:szCs w:val="24"/>
        </w:rPr>
      </w:pPr>
      <w:r w:rsidRPr="001E7ABF">
        <w:rPr>
          <w:color w:val="000000"/>
          <w:szCs w:val="24"/>
        </w:rPr>
        <w:t>Segale (Secale cereale L.)</w:t>
      </w:r>
    </w:p>
    <w:p w:rsidR="007E21C9" w:rsidRPr="001E7ABF" w:rsidRDefault="007E21C9" w:rsidP="00FF03FF">
      <w:pPr>
        <w:pStyle w:val="Nessunaspaziatura"/>
        <w:numPr>
          <w:ilvl w:val="0"/>
          <w:numId w:val="22"/>
        </w:numPr>
        <w:ind w:left="709"/>
        <w:rPr>
          <w:color w:val="000000"/>
          <w:szCs w:val="24"/>
        </w:rPr>
      </w:pPr>
      <w:r w:rsidRPr="001E7ABF">
        <w:rPr>
          <w:color w:val="000000"/>
          <w:szCs w:val="24"/>
        </w:rPr>
        <w:t>Senape abissina  (Brassica carinata L.)</w:t>
      </w:r>
    </w:p>
    <w:p w:rsidR="007E21C9" w:rsidRPr="001E7ABF" w:rsidRDefault="007E21C9" w:rsidP="00FF03FF">
      <w:pPr>
        <w:pStyle w:val="Nessunaspaziatura"/>
        <w:numPr>
          <w:ilvl w:val="0"/>
          <w:numId w:val="22"/>
        </w:numPr>
        <w:ind w:left="709"/>
        <w:rPr>
          <w:color w:val="000000"/>
          <w:szCs w:val="24"/>
        </w:rPr>
      </w:pPr>
      <w:r w:rsidRPr="001E7ABF">
        <w:rPr>
          <w:color w:val="000000"/>
          <w:szCs w:val="24"/>
        </w:rPr>
        <w:t>Sorgo (Sorghum spp.)</w:t>
      </w:r>
    </w:p>
    <w:p w:rsidR="007E21C9" w:rsidRPr="001E7ABF" w:rsidRDefault="007E21C9" w:rsidP="00FF03FF">
      <w:pPr>
        <w:pStyle w:val="Nessunaspaziatura"/>
        <w:numPr>
          <w:ilvl w:val="0"/>
          <w:numId w:val="22"/>
        </w:numPr>
        <w:ind w:left="709"/>
        <w:rPr>
          <w:color w:val="000000"/>
          <w:szCs w:val="24"/>
        </w:rPr>
      </w:pPr>
      <w:r w:rsidRPr="001E7ABF">
        <w:rPr>
          <w:color w:val="000000"/>
          <w:szCs w:val="24"/>
        </w:rPr>
        <w:t>Tabacco (Nicotiana tabacum L.)</w:t>
      </w:r>
    </w:p>
    <w:p w:rsidR="007E21C9" w:rsidRPr="001E7ABF" w:rsidRDefault="007E21C9" w:rsidP="00FF03FF">
      <w:pPr>
        <w:pStyle w:val="Nessunaspaziatura"/>
        <w:numPr>
          <w:ilvl w:val="0"/>
          <w:numId w:val="22"/>
        </w:numPr>
        <w:ind w:left="709"/>
        <w:rPr>
          <w:color w:val="000000"/>
          <w:szCs w:val="24"/>
        </w:rPr>
      </w:pPr>
      <w:r w:rsidRPr="001E7ABF">
        <w:rPr>
          <w:color w:val="000000"/>
          <w:szCs w:val="24"/>
        </w:rPr>
        <w:t>Trifoglio (Trifolium spp.)</w:t>
      </w:r>
    </w:p>
    <w:p w:rsidR="007E21C9" w:rsidRPr="001E7ABF" w:rsidRDefault="007E21C9" w:rsidP="00FF03FF">
      <w:pPr>
        <w:pStyle w:val="Nessunaspaziatura"/>
        <w:numPr>
          <w:ilvl w:val="0"/>
          <w:numId w:val="22"/>
        </w:numPr>
        <w:ind w:left="709"/>
        <w:rPr>
          <w:color w:val="000000"/>
          <w:szCs w:val="24"/>
        </w:rPr>
      </w:pPr>
      <w:r w:rsidRPr="001E7ABF">
        <w:rPr>
          <w:color w:val="000000"/>
          <w:szCs w:val="24"/>
        </w:rPr>
        <w:lastRenderedPageBreak/>
        <w:t>Triticale (Triticum secalotriticum)</w:t>
      </w:r>
    </w:p>
    <w:p w:rsidR="007E21C9" w:rsidRPr="001E7ABF" w:rsidRDefault="007E21C9" w:rsidP="00FF03FF">
      <w:pPr>
        <w:pStyle w:val="Nessunaspaziatura"/>
        <w:numPr>
          <w:ilvl w:val="0"/>
          <w:numId w:val="22"/>
        </w:numPr>
        <w:ind w:left="709"/>
        <w:rPr>
          <w:color w:val="000000"/>
          <w:szCs w:val="24"/>
        </w:rPr>
      </w:pPr>
      <w:r w:rsidRPr="001E7ABF">
        <w:rPr>
          <w:color w:val="000000"/>
          <w:szCs w:val="24"/>
        </w:rPr>
        <w:t>Veccia (Vicia sativa L.)</w:t>
      </w:r>
    </w:p>
    <w:p w:rsidR="007E21C9" w:rsidRPr="001E7ABF" w:rsidRDefault="007E21C9" w:rsidP="00FF03FF">
      <w:pPr>
        <w:pStyle w:val="Nessunaspaziatura"/>
        <w:numPr>
          <w:ilvl w:val="0"/>
          <w:numId w:val="21"/>
        </w:numPr>
        <w:spacing w:before="240"/>
      </w:pPr>
      <w:r w:rsidRPr="001E7ABF">
        <w:t>Specie Erbacee poliennali</w:t>
      </w:r>
    </w:p>
    <w:p w:rsidR="007E21C9" w:rsidRPr="001E7ABF" w:rsidRDefault="007E21C9" w:rsidP="00FF03FF">
      <w:pPr>
        <w:pStyle w:val="Nessunaspaziatura"/>
        <w:numPr>
          <w:ilvl w:val="0"/>
          <w:numId w:val="22"/>
        </w:numPr>
        <w:spacing w:before="240"/>
        <w:ind w:left="709"/>
      </w:pPr>
      <w:r w:rsidRPr="001E7ABF">
        <w:t>Cactus (Cactaceae spp.)</w:t>
      </w:r>
    </w:p>
    <w:p w:rsidR="007E21C9" w:rsidRPr="001E7ABF" w:rsidRDefault="007E21C9" w:rsidP="00FF03FF">
      <w:pPr>
        <w:pStyle w:val="Nessunaspaziatura"/>
        <w:numPr>
          <w:ilvl w:val="0"/>
          <w:numId w:val="22"/>
        </w:numPr>
        <w:ind w:left="709"/>
      </w:pPr>
      <w:r w:rsidRPr="001E7ABF">
        <w:t>Cardo (Cynara cardunculus L.)</w:t>
      </w:r>
    </w:p>
    <w:p w:rsidR="007E21C9" w:rsidRPr="001E7ABF" w:rsidRDefault="007E21C9" w:rsidP="00FF03FF">
      <w:pPr>
        <w:pStyle w:val="Nessunaspaziatura"/>
        <w:numPr>
          <w:ilvl w:val="0"/>
          <w:numId w:val="22"/>
        </w:numPr>
        <w:ind w:left="709"/>
      </w:pPr>
      <w:r w:rsidRPr="001E7ABF">
        <w:t>Cardo mariano (Silybum marianum L.)</w:t>
      </w:r>
    </w:p>
    <w:p w:rsidR="007E21C9" w:rsidRPr="001E7ABF" w:rsidRDefault="007E21C9" w:rsidP="00FF03FF">
      <w:pPr>
        <w:pStyle w:val="Nessunaspaziatura"/>
        <w:numPr>
          <w:ilvl w:val="0"/>
          <w:numId w:val="22"/>
        </w:numPr>
        <w:ind w:left="709"/>
      </w:pPr>
      <w:r w:rsidRPr="001E7ABF">
        <w:t>Erba medica (Medicago sativa L.)</w:t>
      </w:r>
    </w:p>
    <w:p w:rsidR="007E21C9" w:rsidRPr="001E7ABF" w:rsidRDefault="007E21C9" w:rsidP="00FF03FF">
      <w:pPr>
        <w:pStyle w:val="Nessunaspaziatura"/>
        <w:numPr>
          <w:ilvl w:val="0"/>
          <w:numId w:val="22"/>
        </w:numPr>
        <w:ind w:left="709"/>
      </w:pPr>
      <w:r w:rsidRPr="001E7ABF">
        <w:t>Fico d’India ( Opuntia ficus-indica L.)</w:t>
      </w:r>
    </w:p>
    <w:p w:rsidR="007E21C9" w:rsidRPr="001E7ABF" w:rsidRDefault="007E21C9" w:rsidP="00FF03FF">
      <w:pPr>
        <w:pStyle w:val="Nessunaspaziatura"/>
        <w:numPr>
          <w:ilvl w:val="0"/>
          <w:numId w:val="22"/>
        </w:numPr>
        <w:ind w:left="709"/>
      </w:pPr>
      <w:r w:rsidRPr="001E7ABF">
        <w:t>Panìco ( Panicum virgatum L.)</w:t>
      </w:r>
    </w:p>
    <w:p w:rsidR="007E21C9" w:rsidRPr="001E7ABF" w:rsidRDefault="007E21C9" w:rsidP="00FF03FF">
      <w:pPr>
        <w:pStyle w:val="Nessunaspaziatura"/>
        <w:numPr>
          <w:ilvl w:val="0"/>
          <w:numId w:val="22"/>
        </w:numPr>
        <w:ind w:left="709"/>
      </w:pPr>
      <w:r w:rsidRPr="001E7ABF">
        <w:t>Penniseto ( Pennisetum spp.)</w:t>
      </w:r>
    </w:p>
    <w:p w:rsidR="007E21C9" w:rsidRPr="001E7ABF" w:rsidRDefault="007E21C9" w:rsidP="00FF03FF">
      <w:pPr>
        <w:pStyle w:val="Nessunaspaziatura"/>
        <w:numPr>
          <w:ilvl w:val="0"/>
          <w:numId w:val="22"/>
        </w:numPr>
        <w:ind w:left="709"/>
      </w:pPr>
      <w:r w:rsidRPr="001E7ABF">
        <w:t>Saggina spagnola ( Phalaris arundinacea L.)</w:t>
      </w:r>
    </w:p>
    <w:p w:rsidR="007E21C9" w:rsidRPr="001E7ABF" w:rsidRDefault="007E21C9" w:rsidP="00FF03FF">
      <w:pPr>
        <w:pStyle w:val="Nessunaspaziatura"/>
        <w:numPr>
          <w:ilvl w:val="0"/>
          <w:numId w:val="22"/>
        </w:numPr>
        <w:ind w:left="709"/>
      </w:pPr>
      <w:r w:rsidRPr="001E7ABF">
        <w:t>Silphium perfoliatum L.</w:t>
      </w:r>
    </w:p>
    <w:p w:rsidR="007E21C9" w:rsidRPr="001E7ABF" w:rsidRDefault="007E21C9" w:rsidP="00FF03FF">
      <w:pPr>
        <w:pStyle w:val="Nessunaspaziatura"/>
        <w:numPr>
          <w:ilvl w:val="0"/>
          <w:numId w:val="22"/>
        </w:numPr>
        <w:ind w:left="709"/>
      </w:pPr>
      <w:r w:rsidRPr="001E7ABF">
        <w:t>Sulla (Hedysarum coronarium L.)</w:t>
      </w:r>
    </w:p>
    <w:p w:rsidR="007E21C9" w:rsidRPr="001E7ABF" w:rsidRDefault="007E21C9" w:rsidP="00FF03FF">
      <w:pPr>
        <w:pStyle w:val="Nessunaspaziatura"/>
        <w:numPr>
          <w:ilvl w:val="0"/>
          <w:numId w:val="22"/>
        </w:numPr>
        <w:ind w:left="709"/>
      </w:pPr>
      <w:r w:rsidRPr="001E7ABF">
        <w:t>Topinambur ( Helianthus tuberosus L.)</w:t>
      </w:r>
    </w:p>
    <w:p w:rsidR="007E21C9" w:rsidRPr="001E7ABF" w:rsidRDefault="007E21C9" w:rsidP="00FF03FF">
      <w:pPr>
        <w:pStyle w:val="Nessunaspaziatura"/>
        <w:numPr>
          <w:ilvl w:val="0"/>
          <w:numId w:val="22"/>
        </w:numPr>
        <w:ind w:left="709"/>
      </w:pPr>
      <w:r w:rsidRPr="001E7ABF">
        <w:t>Vetiver (Chrysopogon zizanioides L.)</w:t>
      </w:r>
    </w:p>
    <w:p w:rsidR="007E21C9" w:rsidRPr="001E7ABF" w:rsidRDefault="007E21C9" w:rsidP="007E21C9">
      <w:pPr>
        <w:suppressAutoHyphens w:val="0"/>
        <w:overflowPunct/>
        <w:autoSpaceDE/>
        <w:autoSpaceDN/>
        <w:adjustRightInd/>
        <w:jc w:val="left"/>
        <w:textAlignment w:val="auto"/>
        <w:rPr>
          <w:szCs w:val="24"/>
        </w:rPr>
      </w:pPr>
      <w:r w:rsidRPr="001E7ABF">
        <w:rPr>
          <w:szCs w:val="24"/>
        </w:rPr>
        <w:br w:type="page"/>
      </w:r>
    </w:p>
    <w:p w:rsidR="007E21C9" w:rsidRPr="001E7ABF" w:rsidRDefault="007E21C9" w:rsidP="007E21C9">
      <w:pPr>
        <w:pStyle w:val="Nessunaspaziatura"/>
        <w:spacing w:before="240" w:after="240"/>
        <w:outlineLvl w:val="1"/>
        <w:rPr>
          <w:b/>
          <w:bCs/>
        </w:rPr>
      </w:pPr>
      <w:r w:rsidRPr="001E7ABF">
        <w:rPr>
          <w:b/>
          <w:szCs w:val="24"/>
        </w:rPr>
        <w:lastRenderedPageBreak/>
        <w:t xml:space="preserve">Tabella 2 - Elenco dei sottoprodotti e dei prodotti di integrazione </w:t>
      </w:r>
      <w:r w:rsidRPr="001E7ABF">
        <w:rPr>
          <w:b/>
          <w:bCs/>
        </w:rPr>
        <w:t xml:space="preserve">utilizzabili negli impianti a biomasse </w:t>
      </w:r>
    </w:p>
    <w:p w:rsidR="007E21C9" w:rsidRPr="001E7ABF" w:rsidRDefault="007E21C9" w:rsidP="007E21C9">
      <w:pPr>
        <w:pStyle w:val="Nessunaspaziatura"/>
        <w:spacing w:before="240"/>
        <w:rPr>
          <w:bCs/>
        </w:rPr>
      </w:pPr>
      <w:r w:rsidRPr="001E7ABF">
        <w:rPr>
          <w:bCs/>
        </w:rPr>
        <w:t>Parte A – Sottoprodotti</w:t>
      </w:r>
    </w:p>
    <w:p w:rsidR="007E21C9" w:rsidRPr="001E7ABF" w:rsidRDefault="007E21C9" w:rsidP="007E21C9">
      <w:pPr>
        <w:pStyle w:val="Nessunaspaziatura"/>
        <w:spacing w:before="240"/>
        <w:rPr>
          <w:bCs/>
        </w:rPr>
      </w:pPr>
      <w:r w:rsidRPr="001E7ABF">
        <w:rPr>
          <w:bCs/>
        </w:rPr>
        <w:t xml:space="preserve">Fermo restando il rispetto delle disposizioni di cui al decreto legislativo </w:t>
      </w:r>
      <w:r>
        <w:rPr>
          <w:bCs/>
        </w:rPr>
        <w:t xml:space="preserve">3 aprile 2006, </w:t>
      </w:r>
      <w:r w:rsidRPr="001E7ABF">
        <w:rPr>
          <w:bCs/>
        </w:rPr>
        <w:t xml:space="preserve">n. 152, del regolamento CE n. 1069/2009 e del regolamento CE n. 142/2011 si elencano di seguito i sottoprodotti utilizzabili negli impianti a </w:t>
      </w:r>
      <w:r>
        <w:rPr>
          <w:bCs/>
        </w:rPr>
        <w:t>biomasse</w:t>
      </w:r>
      <w:r w:rsidRPr="001E7ABF">
        <w:rPr>
          <w:bCs/>
        </w:rPr>
        <w:t xml:space="preserve"> ai fini dell’accesso ai meccanismi incentivanti di cui al presente decreto integrati con quanto disposto dalla legge n. 211 del 28 dicembre 2015 (c.d. Collegato Ambientale). </w:t>
      </w:r>
    </w:p>
    <w:p w:rsidR="007E21C9" w:rsidRPr="001E7ABF" w:rsidRDefault="007E21C9" w:rsidP="00FF03FF">
      <w:pPr>
        <w:pStyle w:val="Nessunaspaziatura"/>
        <w:numPr>
          <w:ilvl w:val="0"/>
          <w:numId w:val="18"/>
        </w:numPr>
        <w:spacing w:before="240"/>
        <w:ind w:left="426"/>
        <w:rPr>
          <w:szCs w:val="24"/>
        </w:rPr>
      </w:pPr>
      <w:r w:rsidRPr="001E7ABF">
        <w:t>Sottoprodotti</w:t>
      </w:r>
      <w:r w:rsidRPr="001E7ABF">
        <w:rPr>
          <w:szCs w:val="24"/>
        </w:rPr>
        <w:t xml:space="preserve"> provenienti da attività agricola, di allevamento, dalla gestione del verde e da attività forestale</w:t>
      </w:r>
    </w:p>
    <w:p w:rsidR="007E21C9" w:rsidRPr="001E7ABF" w:rsidRDefault="007E21C9" w:rsidP="00FF03FF">
      <w:pPr>
        <w:pStyle w:val="Nessunaspaziatura"/>
        <w:numPr>
          <w:ilvl w:val="0"/>
          <w:numId w:val="19"/>
        </w:numPr>
        <w:spacing w:before="240"/>
        <w:ind w:left="709"/>
        <w:rPr>
          <w:bCs/>
        </w:rPr>
      </w:pPr>
      <w:r w:rsidRPr="001E7ABF">
        <w:rPr>
          <w:bCs/>
        </w:rPr>
        <w:t>paglia;</w:t>
      </w:r>
    </w:p>
    <w:p w:rsidR="007E21C9" w:rsidRPr="001E7ABF" w:rsidRDefault="007E21C9" w:rsidP="00FF03FF">
      <w:pPr>
        <w:pStyle w:val="Nessunaspaziatura"/>
        <w:numPr>
          <w:ilvl w:val="0"/>
          <w:numId w:val="19"/>
        </w:numPr>
        <w:ind w:left="709"/>
        <w:rPr>
          <w:bCs/>
        </w:rPr>
      </w:pPr>
      <w:r w:rsidRPr="001E7ABF">
        <w:rPr>
          <w:bCs/>
        </w:rPr>
        <w:t>stocchi;</w:t>
      </w:r>
    </w:p>
    <w:p w:rsidR="007E21C9" w:rsidRPr="001E7ABF" w:rsidRDefault="007E21C9" w:rsidP="00FF03FF">
      <w:pPr>
        <w:pStyle w:val="Nessunaspaziatura"/>
        <w:numPr>
          <w:ilvl w:val="0"/>
          <w:numId w:val="19"/>
        </w:numPr>
        <w:ind w:left="709"/>
        <w:rPr>
          <w:bCs/>
        </w:rPr>
      </w:pPr>
      <w:r w:rsidRPr="001E7ABF">
        <w:rPr>
          <w:bCs/>
        </w:rPr>
        <w:t>residui di campo delle aziende agricole;</w:t>
      </w:r>
    </w:p>
    <w:p w:rsidR="007E21C9" w:rsidRPr="001E7ABF" w:rsidRDefault="007E21C9" w:rsidP="00FF03FF">
      <w:pPr>
        <w:pStyle w:val="Nessunaspaziatura"/>
        <w:numPr>
          <w:ilvl w:val="0"/>
          <w:numId w:val="19"/>
        </w:numPr>
        <w:ind w:left="709"/>
        <w:rPr>
          <w:bCs/>
        </w:rPr>
      </w:pPr>
      <w:r w:rsidRPr="001E7ABF">
        <w:rPr>
          <w:bCs/>
        </w:rPr>
        <w:t>sottoprodotti derivati dall’espianto;</w:t>
      </w:r>
    </w:p>
    <w:p w:rsidR="007E21C9" w:rsidRPr="001E7ABF" w:rsidRDefault="007E21C9" w:rsidP="00FF03FF">
      <w:pPr>
        <w:pStyle w:val="Nessunaspaziatura"/>
        <w:numPr>
          <w:ilvl w:val="0"/>
          <w:numId w:val="19"/>
        </w:numPr>
        <w:ind w:left="709"/>
        <w:rPr>
          <w:bCs/>
        </w:rPr>
      </w:pPr>
      <w:r w:rsidRPr="001E7ABF">
        <w:rPr>
          <w:bCs/>
        </w:rPr>
        <w:t>sottoprodotti derivati dalla lavorazione dei prodotti forestali</w:t>
      </w:r>
    </w:p>
    <w:p w:rsidR="007E21C9" w:rsidRPr="001E7ABF" w:rsidRDefault="007E21C9" w:rsidP="00FF03FF">
      <w:pPr>
        <w:pStyle w:val="Nessunaspaziatura"/>
        <w:numPr>
          <w:ilvl w:val="0"/>
          <w:numId w:val="19"/>
        </w:numPr>
        <w:ind w:left="709"/>
        <w:rPr>
          <w:bCs/>
        </w:rPr>
      </w:pPr>
      <w:r w:rsidRPr="001E7ABF">
        <w:rPr>
          <w:bCs/>
        </w:rPr>
        <w:t>sottoprodotti derivati dalla gestione del bosco</w:t>
      </w:r>
    </w:p>
    <w:p w:rsidR="007E21C9" w:rsidRPr="001E7ABF" w:rsidRDefault="007E21C9" w:rsidP="00FF03FF">
      <w:pPr>
        <w:pStyle w:val="Nessunaspaziatura"/>
        <w:numPr>
          <w:ilvl w:val="0"/>
          <w:numId w:val="19"/>
        </w:numPr>
        <w:ind w:left="709"/>
        <w:rPr>
          <w:bCs/>
        </w:rPr>
      </w:pPr>
      <w:r w:rsidRPr="001E7ABF">
        <w:rPr>
          <w:bCs/>
        </w:rPr>
        <w:t>potature, ramaglie e residui dalla manutenzione del verde pubblico e privato</w:t>
      </w:r>
    </w:p>
    <w:p w:rsidR="007E21C9" w:rsidRPr="001E7ABF" w:rsidRDefault="007E21C9" w:rsidP="00FF03FF">
      <w:pPr>
        <w:pStyle w:val="Nessunaspaziatura"/>
        <w:numPr>
          <w:ilvl w:val="0"/>
          <w:numId w:val="19"/>
        </w:numPr>
        <w:ind w:left="709"/>
        <w:rPr>
          <w:bCs/>
        </w:rPr>
      </w:pPr>
      <w:r w:rsidRPr="001E7ABF">
        <w:rPr>
          <w:bCs/>
        </w:rPr>
        <w:t>sottoprodotti derivati attività di miglioramento delle aree forestali;</w:t>
      </w:r>
    </w:p>
    <w:p w:rsidR="007E21C9" w:rsidRPr="001E7ABF" w:rsidRDefault="007E21C9" w:rsidP="00FF03FF">
      <w:pPr>
        <w:pStyle w:val="Nessunaspaziatura"/>
        <w:numPr>
          <w:ilvl w:val="0"/>
          <w:numId w:val="19"/>
        </w:numPr>
        <w:ind w:left="709"/>
        <w:rPr>
          <w:bCs/>
        </w:rPr>
      </w:pPr>
      <w:r w:rsidRPr="001E7ABF">
        <w:rPr>
          <w:bCs/>
        </w:rPr>
        <w:t>sottoprodotti derivanti da attività di prevenzione selvicolturale degli incendi boschivi;</w:t>
      </w:r>
    </w:p>
    <w:p w:rsidR="007E21C9" w:rsidRPr="001E7ABF" w:rsidRDefault="007E21C9" w:rsidP="00FF03FF">
      <w:pPr>
        <w:pStyle w:val="Nessunaspaziatura"/>
        <w:numPr>
          <w:ilvl w:val="0"/>
          <w:numId w:val="19"/>
        </w:numPr>
        <w:ind w:left="709"/>
        <w:rPr>
          <w:bCs/>
        </w:rPr>
      </w:pPr>
      <w:r w:rsidRPr="001E7ABF">
        <w:rPr>
          <w:bCs/>
        </w:rPr>
        <w:t>sottoprodotti derivanti da lavori di mantenimento della funzionalità idraulica degli alvei;</w:t>
      </w:r>
    </w:p>
    <w:p w:rsidR="007E21C9" w:rsidRPr="001E7ABF" w:rsidRDefault="007E21C9" w:rsidP="00FF03FF">
      <w:pPr>
        <w:pStyle w:val="Paragrafoelenco"/>
        <w:numPr>
          <w:ilvl w:val="0"/>
          <w:numId w:val="18"/>
        </w:numPr>
        <w:spacing w:before="240"/>
        <w:ind w:left="426"/>
        <w:rPr>
          <w:szCs w:val="24"/>
        </w:rPr>
      </w:pPr>
      <w:r w:rsidRPr="001E7ABF">
        <w:rPr>
          <w:szCs w:val="24"/>
        </w:rPr>
        <w:t>Sottoprodotti provenienti da attività alimentari ed agroindustriali</w:t>
      </w:r>
    </w:p>
    <w:p w:rsidR="007E21C9" w:rsidRPr="001E7ABF" w:rsidRDefault="007E21C9" w:rsidP="00FF03FF">
      <w:pPr>
        <w:pStyle w:val="Nessunaspaziatura"/>
        <w:numPr>
          <w:ilvl w:val="0"/>
          <w:numId w:val="19"/>
        </w:numPr>
        <w:spacing w:before="240"/>
        <w:ind w:left="709"/>
        <w:rPr>
          <w:bCs/>
        </w:rPr>
      </w:pPr>
      <w:r w:rsidRPr="001E7ABF">
        <w:rPr>
          <w:bCs/>
        </w:rPr>
        <w:t>sottoprodotti della trasformazione dell’uva: vinacce, graspi, buccette, vinaccioli</w:t>
      </w:r>
    </w:p>
    <w:p w:rsidR="007E21C9" w:rsidRPr="001E7ABF" w:rsidRDefault="007E21C9" w:rsidP="00FF03FF">
      <w:pPr>
        <w:pStyle w:val="Nessunaspaziatura"/>
        <w:numPr>
          <w:ilvl w:val="0"/>
          <w:numId w:val="19"/>
        </w:numPr>
        <w:ind w:left="709"/>
        <w:rPr>
          <w:bCs/>
        </w:rPr>
      </w:pPr>
      <w:r w:rsidRPr="001E7ABF">
        <w:rPr>
          <w:bCs/>
        </w:rPr>
        <w:t>sottoprodotti della trasformazione della frutta: derivanti da attività di condizionamento, spremitura, sbucciatura o detorsolatura, noccioli, gusci;</w:t>
      </w:r>
    </w:p>
    <w:p w:rsidR="007E21C9" w:rsidRPr="001E7ABF" w:rsidRDefault="007E21C9" w:rsidP="00FF03FF">
      <w:pPr>
        <w:pStyle w:val="Nessunaspaziatura"/>
        <w:numPr>
          <w:ilvl w:val="0"/>
          <w:numId w:val="19"/>
        </w:numPr>
        <w:ind w:left="709"/>
        <w:rPr>
          <w:szCs w:val="24"/>
        </w:rPr>
      </w:pPr>
      <w:r w:rsidRPr="001E7ABF">
        <w:rPr>
          <w:bCs/>
        </w:rPr>
        <w:t>sottoprodotti</w:t>
      </w:r>
      <w:r w:rsidRPr="001E7ABF">
        <w:rPr>
          <w:szCs w:val="24"/>
        </w:rPr>
        <w:t xml:space="preserve"> derivanti dalla lavorazione del risone: pula, lolla.</w:t>
      </w:r>
    </w:p>
    <w:p w:rsidR="007E21C9" w:rsidRPr="001E7ABF" w:rsidRDefault="007E21C9" w:rsidP="00FF03FF">
      <w:pPr>
        <w:pStyle w:val="Paragrafoelenco"/>
        <w:numPr>
          <w:ilvl w:val="0"/>
          <w:numId w:val="18"/>
        </w:numPr>
        <w:spacing w:before="240"/>
        <w:ind w:left="426"/>
        <w:rPr>
          <w:szCs w:val="24"/>
        </w:rPr>
      </w:pPr>
      <w:r w:rsidRPr="001E7ABF">
        <w:rPr>
          <w:szCs w:val="24"/>
        </w:rPr>
        <w:t>Sottoprodotti provenienti da attività industriali</w:t>
      </w:r>
    </w:p>
    <w:p w:rsidR="007E21C9" w:rsidRPr="001E7ABF" w:rsidRDefault="007E21C9" w:rsidP="00FF03FF">
      <w:pPr>
        <w:pStyle w:val="Nessunaspaziatura"/>
        <w:numPr>
          <w:ilvl w:val="0"/>
          <w:numId w:val="19"/>
        </w:numPr>
        <w:spacing w:before="240"/>
        <w:ind w:left="709"/>
        <w:rPr>
          <w:bCs/>
        </w:rPr>
      </w:pPr>
      <w:r w:rsidRPr="001E7ABF">
        <w:rPr>
          <w:bCs/>
        </w:rPr>
        <w:t>sottoprodotti della lavorazione del legno per la produzione di mobili e relativi componenti;</w:t>
      </w:r>
    </w:p>
    <w:p w:rsidR="007E21C9" w:rsidRPr="001E7ABF" w:rsidRDefault="007E21C9" w:rsidP="00FF03FF">
      <w:pPr>
        <w:pStyle w:val="Nessunaspaziatura"/>
        <w:numPr>
          <w:ilvl w:val="0"/>
          <w:numId w:val="19"/>
        </w:numPr>
        <w:ind w:left="709"/>
        <w:rPr>
          <w:szCs w:val="24"/>
        </w:rPr>
      </w:pPr>
      <w:r w:rsidRPr="001E7ABF">
        <w:rPr>
          <w:bCs/>
        </w:rPr>
        <w:t>sottoprodotti</w:t>
      </w:r>
      <w:r w:rsidRPr="001E7ABF">
        <w:rPr>
          <w:szCs w:val="24"/>
        </w:rPr>
        <w:t xml:space="preserve"> dell’industria del recupero e del riciclo di materie a base organica.</w:t>
      </w:r>
    </w:p>
    <w:p w:rsidR="007E21C9" w:rsidRPr="001E7ABF" w:rsidRDefault="007E21C9" w:rsidP="007E21C9">
      <w:pPr>
        <w:pStyle w:val="Nessunaspaziatura"/>
        <w:spacing w:before="240" w:after="240"/>
      </w:pPr>
      <w:r w:rsidRPr="001E7ABF">
        <w:t>Parte B – Prodotti</w:t>
      </w:r>
    </w:p>
    <w:p w:rsidR="007E21C9" w:rsidRPr="001E7ABF" w:rsidRDefault="007E21C9" w:rsidP="00FF03FF">
      <w:pPr>
        <w:pStyle w:val="Paragrafoelenco"/>
        <w:numPr>
          <w:ilvl w:val="0"/>
          <w:numId w:val="23"/>
        </w:numPr>
        <w:spacing w:before="240"/>
        <w:ind w:left="426"/>
        <w:rPr>
          <w:szCs w:val="24"/>
        </w:rPr>
      </w:pPr>
      <w:r w:rsidRPr="001E7ABF">
        <w:rPr>
          <w:szCs w:val="24"/>
        </w:rPr>
        <w:t>Specie erbacee annuali</w:t>
      </w:r>
    </w:p>
    <w:p w:rsidR="007E21C9" w:rsidRPr="001E7ABF" w:rsidRDefault="007E21C9" w:rsidP="00FF03FF">
      <w:pPr>
        <w:pStyle w:val="Nessunaspaziatura"/>
        <w:numPr>
          <w:ilvl w:val="0"/>
          <w:numId w:val="24"/>
        </w:numPr>
        <w:spacing w:before="240"/>
        <w:rPr>
          <w:szCs w:val="24"/>
        </w:rPr>
      </w:pPr>
      <w:r w:rsidRPr="001E7ABF">
        <w:rPr>
          <w:szCs w:val="24"/>
        </w:rPr>
        <w:t>Kenaf (Hibiscus cannabinus L.)</w:t>
      </w:r>
    </w:p>
    <w:p w:rsidR="007E21C9" w:rsidRPr="001E7ABF" w:rsidRDefault="007E21C9" w:rsidP="00FF03FF">
      <w:pPr>
        <w:pStyle w:val="Paragrafoelenco"/>
        <w:numPr>
          <w:ilvl w:val="0"/>
          <w:numId w:val="23"/>
        </w:numPr>
        <w:spacing w:before="240"/>
        <w:ind w:left="426"/>
        <w:rPr>
          <w:szCs w:val="24"/>
        </w:rPr>
      </w:pPr>
      <w:r w:rsidRPr="001E7ABF">
        <w:rPr>
          <w:szCs w:val="24"/>
        </w:rPr>
        <w:t>Specie erbacee poliennali</w:t>
      </w:r>
    </w:p>
    <w:p w:rsidR="007E21C9" w:rsidRPr="001E7ABF" w:rsidRDefault="007E21C9" w:rsidP="00FF03FF">
      <w:pPr>
        <w:pStyle w:val="Nessunaspaziatura"/>
        <w:numPr>
          <w:ilvl w:val="0"/>
          <w:numId w:val="24"/>
        </w:numPr>
        <w:spacing w:before="240"/>
        <w:rPr>
          <w:szCs w:val="24"/>
        </w:rPr>
      </w:pPr>
      <w:r w:rsidRPr="001E7ABF">
        <w:rPr>
          <w:szCs w:val="24"/>
        </w:rPr>
        <w:t>Canna comune (Arundo donax L.)</w:t>
      </w:r>
    </w:p>
    <w:p w:rsidR="007E21C9" w:rsidRPr="001E7ABF" w:rsidRDefault="007E21C9" w:rsidP="00FF03FF">
      <w:pPr>
        <w:pStyle w:val="Nessunaspaziatura"/>
        <w:numPr>
          <w:ilvl w:val="0"/>
          <w:numId w:val="24"/>
        </w:numPr>
        <w:rPr>
          <w:szCs w:val="24"/>
        </w:rPr>
      </w:pPr>
      <w:r w:rsidRPr="001E7ABF">
        <w:rPr>
          <w:szCs w:val="24"/>
        </w:rPr>
        <w:t>Canna d’Egitto (Saccharum spontaneum L.)</w:t>
      </w:r>
    </w:p>
    <w:p w:rsidR="007E21C9" w:rsidRPr="001E7ABF" w:rsidRDefault="007E21C9" w:rsidP="00FF03FF">
      <w:pPr>
        <w:pStyle w:val="Nessunaspaziatura"/>
        <w:numPr>
          <w:ilvl w:val="0"/>
          <w:numId w:val="24"/>
        </w:numPr>
        <w:rPr>
          <w:szCs w:val="24"/>
        </w:rPr>
      </w:pPr>
      <w:r w:rsidRPr="001E7ABF">
        <w:rPr>
          <w:szCs w:val="24"/>
        </w:rPr>
        <w:t>Cannuccia di palude (Phragmites australis L.)</w:t>
      </w:r>
    </w:p>
    <w:p w:rsidR="007E21C9" w:rsidRPr="001E7ABF" w:rsidRDefault="007E21C9" w:rsidP="00FF03FF">
      <w:pPr>
        <w:pStyle w:val="Nessunaspaziatura"/>
        <w:numPr>
          <w:ilvl w:val="0"/>
          <w:numId w:val="24"/>
        </w:numPr>
        <w:rPr>
          <w:szCs w:val="24"/>
        </w:rPr>
      </w:pPr>
      <w:r w:rsidRPr="001E7ABF">
        <w:rPr>
          <w:szCs w:val="24"/>
        </w:rPr>
        <w:t>Disa o saracchio (Ampelodesmus mauritanicus L.)</w:t>
      </w:r>
    </w:p>
    <w:p w:rsidR="007E21C9" w:rsidRPr="001E7ABF" w:rsidRDefault="007E21C9" w:rsidP="00FF03FF">
      <w:pPr>
        <w:pStyle w:val="Nessunaspaziatura"/>
        <w:numPr>
          <w:ilvl w:val="0"/>
          <w:numId w:val="24"/>
        </w:numPr>
        <w:rPr>
          <w:szCs w:val="24"/>
        </w:rPr>
      </w:pPr>
      <w:r w:rsidRPr="001E7ABF">
        <w:rPr>
          <w:szCs w:val="24"/>
        </w:rPr>
        <w:t>Ginestra (Spartium junceum L.)</w:t>
      </w:r>
    </w:p>
    <w:p w:rsidR="007E21C9" w:rsidRPr="001E7ABF" w:rsidRDefault="007E21C9" w:rsidP="00FF03FF">
      <w:pPr>
        <w:pStyle w:val="Nessunaspaziatura"/>
        <w:numPr>
          <w:ilvl w:val="0"/>
          <w:numId w:val="24"/>
        </w:numPr>
        <w:rPr>
          <w:szCs w:val="24"/>
        </w:rPr>
      </w:pPr>
      <w:r w:rsidRPr="001E7ABF">
        <w:rPr>
          <w:szCs w:val="24"/>
        </w:rPr>
        <w:t>Miscanto (Miscanthus spp.)</w:t>
      </w:r>
    </w:p>
    <w:p w:rsidR="007E21C9" w:rsidRPr="001E7ABF" w:rsidRDefault="007E21C9" w:rsidP="00FF03FF">
      <w:pPr>
        <w:pStyle w:val="Nessunaspaziatura"/>
        <w:numPr>
          <w:ilvl w:val="0"/>
          <w:numId w:val="24"/>
        </w:numPr>
        <w:rPr>
          <w:szCs w:val="24"/>
        </w:rPr>
      </w:pPr>
      <w:r w:rsidRPr="001E7ABF">
        <w:rPr>
          <w:szCs w:val="24"/>
        </w:rPr>
        <w:t>Panìco (Panicum virgatum L.)</w:t>
      </w:r>
    </w:p>
    <w:p w:rsidR="007E21C9" w:rsidRPr="001E7ABF" w:rsidRDefault="007E21C9" w:rsidP="00FF03FF">
      <w:pPr>
        <w:pStyle w:val="Paragrafoelenco"/>
        <w:numPr>
          <w:ilvl w:val="0"/>
          <w:numId w:val="23"/>
        </w:numPr>
        <w:spacing w:before="240"/>
        <w:ind w:left="426"/>
        <w:rPr>
          <w:szCs w:val="24"/>
        </w:rPr>
      </w:pPr>
      <w:r w:rsidRPr="001E7ABF">
        <w:rPr>
          <w:szCs w:val="24"/>
        </w:rPr>
        <w:lastRenderedPageBreak/>
        <w:t>Specie arboree</w:t>
      </w:r>
    </w:p>
    <w:p w:rsidR="007E21C9" w:rsidRPr="001E7ABF" w:rsidRDefault="007E21C9" w:rsidP="00FF03FF">
      <w:pPr>
        <w:pStyle w:val="Nessunaspaziatura"/>
        <w:numPr>
          <w:ilvl w:val="0"/>
          <w:numId w:val="24"/>
        </w:numPr>
        <w:spacing w:before="240"/>
        <w:rPr>
          <w:szCs w:val="24"/>
        </w:rPr>
      </w:pPr>
      <w:r w:rsidRPr="001E7ABF">
        <w:rPr>
          <w:szCs w:val="24"/>
        </w:rPr>
        <w:t>Acacia (Acacia spp.)</w:t>
      </w:r>
    </w:p>
    <w:p w:rsidR="007E21C9" w:rsidRPr="001E7ABF" w:rsidRDefault="007E21C9" w:rsidP="00FF03FF">
      <w:pPr>
        <w:pStyle w:val="Nessunaspaziatura"/>
        <w:numPr>
          <w:ilvl w:val="0"/>
          <w:numId w:val="24"/>
        </w:numPr>
        <w:rPr>
          <w:szCs w:val="24"/>
        </w:rPr>
      </w:pPr>
      <w:r w:rsidRPr="001E7ABF">
        <w:rPr>
          <w:szCs w:val="24"/>
        </w:rPr>
        <w:t>Eucalipto (Eucalyptus spp.)</w:t>
      </w:r>
    </w:p>
    <w:p w:rsidR="007E21C9" w:rsidRPr="001E7ABF" w:rsidRDefault="007E21C9" w:rsidP="00FF03FF">
      <w:pPr>
        <w:pStyle w:val="Nessunaspaziatura"/>
        <w:numPr>
          <w:ilvl w:val="0"/>
          <w:numId w:val="24"/>
        </w:numPr>
        <w:rPr>
          <w:szCs w:val="24"/>
        </w:rPr>
      </w:pPr>
      <w:r w:rsidRPr="001E7ABF">
        <w:rPr>
          <w:szCs w:val="24"/>
        </w:rPr>
        <w:t>Olmo siberiano (Ulmus pumila L.)</w:t>
      </w:r>
    </w:p>
    <w:p w:rsidR="007E21C9" w:rsidRPr="001E7ABF" w:rsidRDefault="007E21C9" w:rsidP="00FF03FF">
      <w:pPr>
        <w:pStyle w:val="Nessunaspaziatura"/>
        <w:numPr>
          <w:ilvl w:val="0"/>
          <w:numId w:val="24"/>
        </w:numPr>
        <w:rPr>
          <w:szCs w:val="24"/>
        </w:rPr>
      </w:pPr>
      <w:r w:rsidRPr="001E7ABF">
        <w:rPr>
          <w:szCs w:val="24"/>
        </w:rPr>
        <w:t>Ontano (Alnus spp.)</w:t>
      </w:r>
    </w:p>
    <w:p w:rsidR="007E21C9" w:rsidRPr="001E7ABF" w:rsidRDefault="007E21C9" w:rsidP="00FF03FF">
      <w:pPr>
        <w:pStyle w:val="Nessunaspaziatura"/>
        <w:numPr>
          <w:ilvl w:val="0"/>
          <w:numId w:val="24"/>
        </w:numPr>
        <w:rPr>
          <w:szCs w:val="24"/>
        </w:rPr>
      </w:pPr>
      <w:r w:rsidRPr="001E7ABF">
        <w:rPr>
          <w:szCs w:val="24"/>
        </w:rPr>
        <w:t>Paulonia (Paulownia spp.)</w:t>
      </w:r>
    </w:p>
    <w:p w:rsidR="007E21C9" w:rsidRPr="001E7ABF" w:rsidRDefault="007E21C9" w:rsidP="00FF03FF">
      <w:pPr>
        <w:pStyle w:val="Nessunaspaziatura"/>
        <w:numPr>
          <w:ilvl w:val="0"/>
          <w:numId w:val="24"/>
        </w:numPr>
        <w:rPr>
          <w:szCs w:val="24"/>
        </w:rPr>
      </w:pPr>
      <w:r w:rsidRPr="001E7ABF">
        <w:rPr>
          <w:szCs w:val="24"/>
        </w:rPr>
        <w:t>Pino della California ( Pinus Radiata)</w:t>
      </w:r>
    </w:p>
    <w:p w:rsidR="007E21C9" w:rsidRPr="001E7ABF" w:rsidRDefault="007E21C9" w:rsidP="00FF03FF">
      <w:pPr>
        <w:pStyle w:val="Nessunaspaziatura"/>
        <w:numPr>
          <w:ilvl w:val="0"/>
          <w:numId w:val="24"/>
        </w:numPr>
        <w:rPr>
          <w:szCs w:val="24"/>
        </w:rPr>
      </w:pPr>
      <w:r w:rsidRPr="001E7ABF">
        <w:rPr>
          <w:szCs w:val="24"/>
        </w:rPr>
        <w:t>Pioppo (Populus spp.)</w:t>
      </w:r>
    </w:p>
    <w:p w:rsidR="007E21C9" w:rsidRPr="001E7ABF" w:rsidRDefault="007E21C9" w:rsidP="00FF03FF">
      <w:pPr>
        <w:pStyle w:val="Nessunaspaziatura"/>
        <w:numPr>
          <w:ilvl w:val="0"/>
          <w:numId w:val="24"/>
        </w:numPr>
        <w:rPr>
          <w:szCs w:val="24"/>
        </w:rPr>
      </w:pPr>
      <w:r w:rsidRPr="001E7ABF">
        <w:rPr>
          <w:szCs w:val="24"/>
        </w:rPr>
        <w:t>Platano (Platanus spp.)</w:t>
      </w:r>
    </w:p>
    <w:p w:rsidR="007E21C9" w:rsidRPr="001E7ABF" w:rsidRDefault="007E21C9" w:rsidP="00FF03FF">
      <w:pPr>
        <w:pStyle w:val="Nessunaspaziatura"/>
        <w:numPr>
          <w:ilvl w:val="0"/>
          <w:numId w:val="24"/>
        </w:numPr>
        <w:rPr>
          <w:szCs w:val="24"/>
        </w:rPr>
      </w:pPr>
      <w:r w:rsidRPr="001E7ABF">
        <w:rPr>
          <w:szCs w:val="24"/>
        </w:rPr>
        <w:t>Robinia (Robinia pseudoacacia L.)</w:t>
      </w:r>
    </w:p>
    <w:p w:rsidR="007E21C9" w:rsidRDefault="007E21C9" w:rsidP="00FF03FF">
      <w:pPr>
        <w:pStyle w:val="Nessunaspaziatura"/>
        <w:numPr>
          <w:ilvl w:val="0"/>
          <w:numId w:val="24"/>
        </w:numPr>
        <w:rPr>
          <w:szCs w:val="24"/>
        </w:rPr>
      </w:pPr>
      <w:r w:rsidRPr="001E7ABF">
        <w:rPr>
          <w:szCs w:val="24"/>
        </w:rPr>
        <w:t>Salice (Salix spp.)</w:t>
      </w:r>
    </w:p>
    <w:sectPr w:rsidR="007E21C9" w:rsidSect="00820B89">
      <w:footerReference w:type="default" r:id="rId14"/>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1835" w16cex:dateUtc="2022-01-11T13:52:00Z"/>
  <w16cex:commentExtensible w16cex:durableId="2588172F" w16cex:dateUtc="2021-11-22T09:21:00Z"/>
  <w16cex:commentExtensible w16cex:durableId="25881730" w16cex:dateUtc="2022-01-04T14:48:00Z"/>
  <w16cex:commentExtensible w16cex:durableId="25881734" w16cex:dateUtc="2021-11-25T16:04:00Z"/>
  <w16cex:commentExtensible w16cex:durableId="25881735" w16cex:dateUtc="2021-11-25T16: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0F0" w:rsidRDefault="005370F0" w:rsidP="00561657">
      <w:r>
        <w:separator/>
      </w:r>
    </w:p>
  </w:endnote>
  <w:endnote w:type="continuationSeparator" w:id="0">
    <w:p w:rsidR="005370F0" w:rsidRDefault="005370F0" w:rsidP="00561657">
      <w:r>
        <w:continuationSeparator/>
      </w:r>
    </w:p>
  </w:endnote>
  <w:endnote w:type="continuationNotice" w:id="1">
    <w:p w:rsidR="005370F0" w:rsidRDefault="00537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tillium">
    <w:altName w:val="Courier New"/>
    <w:panose1 w:val="00000000000000000000"/>
    <w:charset w:val="00"/>
    <w:family w:val="modern"/>
    <w:notTrueType/>
    <w:pitch w:val="variable"/>
    <w:sig w:usb0="00000001"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ce Script MT">
    <w:altName w:val="French Script MT"/>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244" w:rsidRDefault="00E02244">
    <w:pPr>
      <w:pStyle w:val="Pidipagina"/>
      <w:jc w:val="right"/>
    </w:pPr>
    <w:r>
      <w:rPr>
        <w:noProof/>
      </w:rPr>
      <w:fldChar w:fldCharType="begin"/>
    </w:r>
    <w:r>
      <w:rPr>
        <w:noProof/>
      </w:rPr>
      <w:instrText xml:space="preserve"> PAGE   \* MERGEFORMAT </w:instrText>
    </w:r>
    <w:r>
      <w:rPr>
        <w:noProof/>
      </w:rPr>
      <w:fldChar w:fldCharType="separate"/>
    </w:r>
    <w:r w:rsidR="0056197E">
      <w:rPr>
        <w:noProof/>
      </w:rPr>
      <w:t>17</w:t>
    </w:r>
    <w:r>
      <w:rPr>
        <w:noProof/>
      </w:rPr>
      <w:fldChar w:fldCharType="end"/>
    </w:r>
  </w:p>
  <w:p w:rsidR="00E02244" w:rsidRDefault="00E022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0F0" w:rsidRDefault="005370F0" w:rsidP="00561657">
      <w:r>
        <w:separator/>
      </w:r>
    </w:p>
  </w:footnote>
  <w:footnote w:type="continuationSeparator" w:id="0">
    <w:p w:rsidR="005370F0" w:rsidRDefault="005370F0" w:rsidP="00561657">
      <w:r>
        <w:continuationSeparator/>
      </w:r>
    </w:p>
  </w:footnote>
  <w:footnote w:type="continuationNotice" w:id="1">
    <w:p w:rsidR="005370F0" w:rsidRDefault="005370F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28C4"/>
    <w:multiLevelType w:val="hybridMultilevel"/>
    <w:tmpl w:val="3DE27360"/>
    <w:lvl w:ilvl="0" w:tplc="04100017">
      <w:start w:val="1"/>
      <w:numFmt w:val="lowerLetter"/>
      <w:lvlText w:val="%1)"/>
      <w:lvlJc w:val="left"/>
      <w:pPr>
        <w:ind w:left="1428" w:hanging="360"/>
      </w:pPr>
    </w:lvl>
    <w:lvl w:ilvl="1" w:tplc="04100017">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0BBD0310"/>
    <w:multiLevelType w:val="hybridMultilevel"/>
    <w:tmpl w:val="79E2501E"/>
    <w:lvl w:ilvl="0" w:tplc="04100017">
      <w:start w:val="1"/>
      <w:numFmt w:val="lowerLetter"/>
      <w:lvlText w:val="%1)"/>
      <w:lvlJc w:val="left"/>
      <w:pPr>
        <w:ind w:left="1428" w:hanging="360"/>
      </w:pPr>
    </w:lvl>
    <w:lvl w:ilvl="1" w:tplc="04100017">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15:restartNumberingAfterBreak="0">
    <w:nsid w:val="0BDC1DE8"/>
    <w:multiLevelType w:val="hybridMultilevel"/>
    <w:tmpl w:val="21621322"/>
    <w:lvl w:ilvl="0" w:tplc="D38C28A2">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DB12CA"/>
    <w:multiLevelType w:val="hybridMultilevel"/>
    <w:tmpl w:val="3B50BEB6"/>
    <w:lvl w:ilvl="0" w:tplc="9154D9A4">
      <w:start w:val="12"/>
      <w:numFmt w:val="lowerLetter"/>
      <w:lvlText w:val="%1)"/>
      <w:lvlJc w:val="left"/>
      <w:pPr>
        <w:ind w:left="144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E230FE"/>
    <w:multiLevelType w:val="hybridMultilevel"/>
    <w:tmpl w:val="6D6EB152"/>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15:restartNumberingAfterBreak="0">
    <w:nsid w:val="0F107E2A"/>
    <w:multiLevelType w:val="hybridMultilevel"/>
    <w:tmpl w:val="A8460E98"/>
    <w:lvl w:ilvl="0" w:tplc="496E794C">
      <w:start w:val="1"/>
      <w:numFmt w:val="decimal"/>
      <w:lvlText w:val="%1)"/>
      <w:lvlJc w:val="right"/>
      <w:pPr>
        <w:ind w:left="720" w:hanging="360"/>
      </w:pPr>
      <w:rPr>
        <w:rFonts w:ascii="Times New Roman" w:eastAsia="Times New Roman" w:hAnsi="Times New Roman" w:cs="Times New Roman"/>
      </w:rPr>
    </w:lvl>
    <w:lvl w:ilvl="1" w:tplc="533443E8">
      <w:start w:val="1"/>
      <w:numFmt w:val="lowerLetter"/>
      <w:lvlText w:val="%2)"/>
      <w:lvlJc w:val="left"/>
      <w:pPr>
        <w:ind w:left="1464" w:hanging="384"/>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447441"/>
    <w:multiLevelType w:val="hybridMultilevel"/>
    <w:tmpl w:val="7AD853B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DE1339"/>
    <w:multiLevelType w:val="hybridMultilevel"/>
    <w:tmpl w:val="264440CA"/>
    <w:lvl w:ilvl="0" w:tplc="04100017">
      <w:start w:val="1"/>
      <w:numFmt w:val="lowerLetter"/>
      <w:lvlText w:val="%1)"/>
      <w:lvlJc w:val="left"/>
      <w:pPr>
        <w:ind w:left="1428" w:hanging="360"/>
      </w:p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15:restartNumberingAfterBreak="0">
    <w:nsid w:val="197A09E8"/>
    <w:multiLevelType w:val="hybridMultilevel"/>
    <w:tmpl w:val="5596D132"/>
    <w:lvl w:ilvl="0" w:tplc="522E204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8B203C"/>
    <w:multiLevelType w:val="hybridMultilevel"/>
    <w:tmpl w:val="E698169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4717F8"/>
    <w:multiLevelType w:val="hybridMultilevel"/>
    <w:tmpl w:val="6244489C"/>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222B0AF9"/>
    <w:multiLevelType w:val="hybridMultilevel"/>
    <w:tmpl w:val="326A59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3DB4E00"/>
    <w:multiLevelType w:val="hybridMultilevel"/>
    <w:tmpl w:val="D758C5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2C7CFC"/>
    <w:multiLevelType w:val="hybridMultilevel"/>
    <w:tmpl w:val="DEC027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046181"/>
    <w:multiLevelType w:val="hybridMultilevel"/>
    <w:tmpl w:val="963A975C"/>
    <w:lvl w:ilvl="0" w:tplc="6F26A0EA">
      <w:start w:val="1"/>
      <w:numFmt w:val="decimal"/>
      <w:lvlText w:val="%1."/>
      <w:lvlJc w:val="left"/>
      <w:pPr>
        <w:ind w:left="1790" w:hanging="360"/>
      </w:pPr>
      <w:rPr>
        <w:rFonts w:hint="default"/>
      </w:rPr>
    </w:lvl>
    <w:lvl w:ilvl="1" w:tplc="6F26A0EA">
      <w:start w:val="1"/>
      <w:numFmt w:val="decimal"/>
      <w:lvlText w:val="%2."/>
      <w:lvlJc w:val="left"/>
      <w:pPr>
        <w:ind w:left="2510" w:hanging="360"/>
      </w:pPr>
      <w:rPr>
        <w:rFonts w:hint="default"/>
      </w:rPr>
    </w:lvl>
    <w:lvl w:ilvl="2" w:tplc="04100017">
      <w:start w:val="1"/>
      <w:numFmt w:val="lowerLetter"/>
      <w:lvlText w:val="%3)"/>
      <w:lvlJc w:val="left"/>
      <w:pPr>
        <w:ind w:left="3410" w:hanging="360"/>
      </w:pPr>
      <w:rPr>
        <w:rFonts w:hint="default"/>
      </w:rPr>
    </w:lvl>
    <w:lvl w:ilvl="3" w:tplc="0410000F" w:tentative="1">
      <w:start w:val="1"/>
      <w:numFmt w:val="decimal"/>
      <w:lvlText w:val="%4."/>
      <w:lvlJc w:val="left"/>
      <w:pPr>
        <w:ind w:left="3950" w:hanging="360"/>
      </w:pPr>
    </w:lvl>
    <w:lvl w:ilvl="4" w:tplc="04100019" w:tentative="1">
      <w:start w:val="1"/>
      <w:numFmt w:val="lowerLetter"/>
      <w:lvlText w:val="%5."/>
      <w:lvlJc w:val="left"/>
      <w:pPr>
        <w:ind w:left="4670" w:hanging="360"/>
      </w:pPr>
    </w:lvl>
    <w:lvl w:ilvl="5" w:tplc="0410001B" w:tentative="1">
      <w:start w:val="1"/>
      <w:numFmt w:val="lowerRoman"/>
      <w:lvlText w:val="%6."/>
      <w:lvlJc w:val="right"/>
      <w:pPr>
        <w:ind w:left="5390" w:hanging="180"/>
      </w:pPr>
    </w:lvl>
    <w:lvl w:ilvl="6" w:tplc="0410000F" w:tentative="1">
      <w:start w:val="1"/>
      <w:numFmt w:val="decimal"/>
      <w:lvlText w:val="%7."/>
      <w:lvlJc w:val="left"/>
      <w:pPr>
        <w:ind w:left="6110" w:hanging="360"/>
      </w:pPr>
    </w:lvl>
    <w:lvl w:ilvl="7" w:tplc="04100019" w:tentative="1">
      <w:start w:val="1"/>
      <w:numFmt w:val="lowerLetter"/>
      <w:lvlText w:val="%8."/>
      <w:lvlJc w:val="left"/>
      <w:pPr>
        <w:ind w:left="6830" w:hanging="360"/>
      </w:pPr>
    </w:lvl>
    <w:lvl w:ilvl="8" w:tplc="0410001B" w:tentative="1">
      <w:start w:val="1"/>
      <w:numFmt w:val="lowerRoman"/>
      <w:lvlText w:val="%9."/>
      <w:lvlJc w:val="right"/>
      <w:pPr>
        <w:ind w:left="7550" w:hanging="180"/>
      </w:pPr>
    </w:lvl>
  </w:abstractNum>
  <w:abstractNum w:abstractNumId="15" w15:restartNumberingAfterBreak="0">
    <w:nsid w:val="309D2DC7"/>
    <w:multiLevelType w:val="hybridMultilevel"/>
    <w:tmpl w:val="BD226FAE"/>
    <w:lvl w:ilvl="0" w:tplc="0410001B">
      <w:start w:val="1"/>
      <w:numFmt w:val="lowerRoman"/>
      <w:lvlText w:val="%1."/>
      <w:lvlJc w:val="righ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6" w15:restartNumberingAfterBreak="0">
    <w:nsid w:val="310E134E"/>
    <w:multiLevelType w:val="hybridMultilevel"/>
    <w:tmpl w:val="9612A58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315010A7"/>
    <w:multiLevelType w:val="hybridMultilevel"/>
    <w:tmpl w:val="D758C5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881F51"/>
    <w:multiLevelType w:val="hybridMultilevel"/>
    <w:tmpl w:val="2C0636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EC5BC4"/>
    <w:multiLevelType w:val="hybridMultilevel"/>
    <w:tmpl w:val="DEC027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2C5DC7"/>
    <w:multiLevelType w:val="hybridMultilevel"/>
    <w:tmpl w:val="AB2EA0C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1" w15:restartNumberingAfterBreak="0">
    <w:nsid w:val="374931E0"/>
    <w:multiLevelType w:val="hybridMultilevel"/>
    <w:tmpl w:val="2C6232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EF55B1"/>
    <w:multiLevelType w:val="hybridMultilevel"/>
    <w:tmpl w:val="6AE2E3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AD3000B"/>
    <w:multiLevelType w:val="hybridMultilevel"/>
    <w:tmpl w:val="9D4600D2"/>
    <w:lvl w:ilvl="0" w:tplc="04100011">
      <w:start w:val="1"/>
      <w:numFmt w:val="decimal"/>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4" w15:restartNumberingAfterBreak="0">
    <w:nsid w:val="3C746075"/>
    <w:multiLevelType w:val="hybridMultilevel"/>
    <w:tmpl w:val="6630A15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3C8C110E"/>
    <w:multiLevelType w:val="hybridMultilevel"/>
    <w:tmpl w:val="FF4EDC16"/>
    <w:lvl w:ilvl="0" w:tplc="04100017">
      <w:start w:val="1"/>
      <w:numFmt w:val="lowerLetter"/>
      <w:lvlText w:val="%1)"/>
      <w:lvlJc w:val="left"/>
      <w:pPr>
        <w:ind w:left="1287" w:hanging="360"/>
      </w:pPr>
    </w:lvl>
    <w:lvl w:ilvl="1" w:tplc="04100017">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6" w15:restartNumberingAfterBreak="0">
    <w:nsid w:val="3E2E222A"/>
    <w:multiLevelType w:val="hybridMultilevel"/>
    <w:tmpl w:val="CB8691B2"/>
    <w:lvl w:ilvl="0" w:tplc="04100017">
      <w:start w:val="1"/>
      <w:numFmt w:val="low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E614640"/>
    <w:multiLevelType w:val="hybridMultilevel"/>
    <w:tmpl w:val="A70644A8"/>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8" w15:restartNumberingAfterBreak="0">
    <w:nsid w:val="42351C35"/>
    <w:multiLevelType w:val="multilevel"/>
    <w:tmpl w:val="A27E4EF6"/>
    <w:lvl w:ilvl="0">
      <w:start w:val="1"/>
      <w:numFmt w:val="decimal"/>
      <w:pStyle w:val="Titolo1"/>
      <w:lvlText w:val="%1"/>
      <w:lvlJc w:val="left"/>
      <w:pPr>
        <w:tabs>
          <w:tab w:val="num" w:pos="858"/>
        </w:tabs>
        <w:ind w:left="858" w:hanging="432"/>
      </w:pPr>
      <w:rPr>
        <w:rFonts w:hint="default"/>
      </w:rPr>
    </w:lvl>
    <w:lvl w:ilvl="1">
      <w:start w:val="1"/>
      <w:numFmt w:val="decimal"/>
      <w:pStyle w:val="Titolo2"/>
      <w:lvlText w:val="%1.%2"/>
      <w:lvlJc w:val="left"/>
      <w:pPr>
        <w:tabs>
          <w:tab w:val="num" w:pos="1144"/>
        </w:tabs>
        <w:ind w:left="1144" w:hanging="576"/>
      </w:pPr>
      <w:rPr>
        <w:rFonts w:hint="default"/>
      </w:rPr>
    </w:lvl>
    <w:lvl w:ilvl="2">
      <w:start w:val="1"/>
      <w:numFmt w:val="decimal"/>
      <w:pStyle w:val="Titolo3"/>
      <w:lvlText w:val="%1.%2.%3"/>
      <w:lvlJc w:val="left"/>
      <w:pPr>
        <w:tabs>
          <w:tab w:val="num" w:pos="1320"/>
        </w:tabs>
        <w:ind w:left="1320" w:hanging="720"/>
      </w:pPr>
      <w:rPr>
        <w:rFonts w:hint="default"/>
        <w:b/>
        <w:bCs/>
        <w:i w:val="0"/>
        <w:iCs w:val="0"/>
      </w:rPr>
    </w:lvl>
    <w:lvl w:ilvl="3">
      <w:start w:val="1"/>
      <w:numFmt w:val="decimal"/>
      <w:pStyle w:val="Titolo4"/>
      <w:lvlText w:val="%1.%2.%3.%4"/>
      <w:lvlJc w:val="left"/>
      <w:pPr>
        <w:tabs>
          <w:tab w:val="num" w:pos="1290"/>
        </w:tabs>
        <w:ind w:left="1290" w:hanging="864"/>
      </w:pPr>
      <w:rPr>
        <w:rFonts w:hint="default"/>
      </w:rPr>
    </w:lvl>
    <w:lvl w:ilvl="4">
      <w:start w:val="1"/>
      <w:numFmt w:val="decimal"/>
      <w:pStyle w:val="Titolo5"/>
      <w:lvlText w:val="%1.%2.%3.%4.%5"/>
      <w:lvlJc w:val="left"/>
      <w:pPr>
        <w:tabs>
          <w:tab w:val="num" w:pos="1434"/>
        </w:tabs>
        <w:ind w:left="1434" w:hanging="1008"/>
      </w:pPr>
      <w:rPr>
        <w:rFonts w:hint="default"/>
      </w:rPr>
    </w:lvl>
    <w:lvl w:ilvl="5">
      <w:start w:val="1"/>
      <w:numFmt w:val="decimal"/>
      <w:pStyle w:val="Titolo6"/>
      <w:lvlText w:val="%1.%2.%3.%4.%5.%6"/>
      <w:lvlJc w:val="left"/>
      <w:pPr>
        <w:tabs>
          <w:tab w:val="num" w:pos="1578"/>
        </w:tabs>
        <w:ind w:left="1578" w:hanging="1152"/>
      </w:pPr>
      <w:rPr>
        <w:rFonts w:hint="default"/>
      </w:rPr>
    </w:lvl>
    <w:lvl w:ilvl="6">
      <w:start w:val="1"/>
      <w:numFmt w:val="decimal"/>
      <w:pStyle w:val="Titolo7"/>
      <w:lvlText w:val="%1.%2.%3.%4.%5.%6.%7"/>
      <w:lvlJc w:val="left"/>
      <w:pPr>
        <w:tabs>
          <w:tab w:val="num" w:pos="1722"/>
        </w:tabs>
        <w:ind w:left="1722" w:hanging="1296"/>
      </w:pPr>
      <w:rPr>
        <w:rFonts w:hint="default"/>
      </w:rPr>
    </w:lvl>
    <w:lvl w:ilvl="7">
      <w:start w:val="1"/>
      <w:numFmt w:val="decimal"/>
      <w:pStyle w:val="Titolo8"/>
      <w:lvlText w:val="%1.%2.%3.%4.%5.%6.%7.%8"/>
      <w:lvlJc w:val="left"/>
      <w:pPr>
        <w:tabs>
          <w:tab w:val="num" w:pos="1866"/>
        </w:tabs>
        <w:ind w:left="1866" w:hanging="1440"/>
      </w:pPr>
      <w:rPr>
        <w:rFonts w:hint="default"/>
      </w:rPr>
    </w:lvl>
    <w:lvl w:ilvl="8">
      <w:start w:val="1"/>
      <w:numFmt w:val="decimal"/>
      <w:pStyle w:val="Titolo9"/>
      <w:lvlText w:val="%1.%2.%3.%4.%5.%6.%7.%8.%9"/>
      <w:lvlJc w:val="left"/>
      <w:pPr>
        <w:tabs>
          <w:tab w:val="num" w:pos="2010"/>
        </w:tabs>
        <w:ind w:left="2010" w:hanging="1584"/>
      </w:pPr>
      <w:rPr>
        <w:rFonts w:hint="default"/>
      </w:rPr>
    </w:lvl>
  </w:abstractNum>
  <w:abstractNum w:abstractNumId="29" w15:restartNumberingAfterBreak="0">
    <w:nsid w:val="43B83B13"/>
    <w:multiLevelType w:val="hybridMultilevel"/>
    <w:tmpl w:val="0E5E8CA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7C1000B"/>
    <w:multiLevelType w:val="hybridMultilevel"/>
    <w:tmpl w:val="5F244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8900946"/>
    <w:multiLevelType w:val="hybridMultilevel"/>
    <w:tmpl w:val="E33C02D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A432C93"/>
    <w:multiLevelType w:val="hybridMultilevel"/>
    <w:tmpl w:val="717C207C"/>
    <w:lvl w:ilvl="0" w:tplc="A970B1B6">
      <w:start w:val="1"/>
      <w:numFmt w:val="lowerLetter"/>
      <w:lvlText w:val="%1)"/>
      <w:lvlJc w:val="left"/>
      <w:pPr>
        <w:ind w:left="426" w:hanging="360"/>
      </w:pPr>
      <w:rPr>
        <w:rFonts w:hint="default"/>
        <w:b w:val="0"/>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3" w15:restartNumberingAfterBreak="0">
    <w:nsid w:val="4BDB5E00"/>
    <w:multiLevelType w:val="hybridMultilevel"/>
    <w:tmpl w:val="EF5ACDF4"/>
    <w:lvl w:ilvl="0" w:tplc="04100017">
      <w:start w:val="1"/>
      <w:numFmt w:val="lowerLetter"/>
      <w:lvlText w:val="%1)"/>
      <w:lvlJc w:val="left"/>
      <w:pPr>
        <w:ind w:left="1287" w:hanging="360"/>
      </w:pPr>
    </w:lvl>
    <w:lvl w:ilvl="1" w:tplc="04100017">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4" w15:restartNumberingAfterBreak="0">
    <w:nsid w:val="4FDD20F8"/>
    <w:multiLevelType w:val="hybridMultilevel"/>
    <w:tmpl w:val="06C64510"/>
    <w:lvl w:ilvl="0" w:tplc="04100017">
      <w:start w:val="1"/>
      <w:numFmt w:val="lowerLetter"/>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5" w15:restartNumberingAfterBreak="0">
    <w:nsid w:val="5738514E"/>
    <w:multiLevelType w:val="hybridMultilevel"/>
    <w:tmpl w:val="2038689C"/>
    <w:lvl w:ilvl="0" w:tplc="0410001B">
      <w:start w:val="1"/>
      <w:numFmt w:val="lowerRoman"/>
      <w:lvlText w:val="%1."/>
      <w:lvlJc w:val="right"/>
      <w:pPr>
        <w:ind w:left="762" w:hanging="360"/>
      </w:pPr>
      <w:rPr>
        <w:rFonts w:hint="default"/>
      </w:rPr>
    </w:lvl>
    <w:lvl w:ilvl="1" w:tplc="A5764860">
      <w:start w:val="1"/>
      <w:numFmt w:val="lowerLetter"/>
      <w:lvlText w:val="%2)"/>
      <w:lvlJc w:val="left"/>
      <w:pPr>
        <w:ind w:left="1482" w:hanging="360"/>
      </w:pPr>
      <w:rPr>
        <w:rFonts w:hint="default"/>
      </w:rPr>
    </w:lvl>
    <w:lvl w:ilvl="2" w:tplc="0410001B" w:tentative="1">
      <w:start w:val="1"/>
      <w:numFmt w:val="lowerRoman"/>
      <w:lvlText w:val="%3."/>
      <w:lvlJc w:val="right"/>
      <w:pPr>
        <w:ind w:left="2202" w:hanging="180"/>
      </w:pPr>
    </w:lvl>
    <w:lvl w:ilvl="3" w:tplc="0410000F" w:tentative="1">
      <w:start w:val="1"/>
      <w:numFmt w:val="decimal"/>
      <w:lvlText w:val="%4."/>
      <w:lvlJc w:val="left"/>
      <w:pPr>
        <w:ind w:left="2922" w:hanging="360"/>
      </w:pPr>
    </w:lvl>
    <w:lvl w:ilvl="4" w:tplc="04100019" w:tentative="1">
      <w:start w:val="1"/>
      <w:numFmt w:val="lowerLetter"/>
      <w:lvlText w:val="%5."/>
      <w:lvlJc w:val="left"/>
      <w:pPr>
        <w:ind w:left="3642" w:hanging="360"/>
      </w:pPr>
    </w:lvl>
    <w:lvl w:ilvl="5" w:tplc="0410001B" w:tentative="1">
      <w:start w:val="1"/>
      <w:numFmt w:val="lowerRoman"/>
      <w:lvlText w:val="%6."/>
      <w:lvlJc w:val="right"/>
      <w:pPr>
        <w:ind w:left="4362" w:hanging="180"/>
      </w:pPr>
    </w:lvl>
    <w:lvl w:ilvl="6" w:tplc="0410000F" w:tentative="1">
      <w:start w:val="1"/>
      <w:numFmt w:val="decimal"/>
      <w:lvlText w:val="%7."/>
      <w:lvlJc w:val="left"/>
      <w:pPr>
        <w:ind w:left="5082" w:hanging="360"/>
      </w:pPr>
    </w:lvl>
    <w:lvl w:ilvl="7" w:tplc="04100019" w:tentative="1">
      <w:start w:val="1"/>
      <w:numFmt w:val="lowerLetter"/>
      <w:lvlText w:val="%8."/>
      <w:lvlJc w:val="left"/>
      <w:pPr>
        <w:ind w:left="5802" w:hanging="360"/>
      </w:pPr>
    </w:lvl>
    <w:lvl w:ilvl="8" w:tplc="0410001B" w:tentative="1">
      <w:start w:val="1"/>
      <w:numFmt w:val="lowerRoman"/>
      <w:lvlText w:val="%9."/>
      <w:lvlJc w:val="right"/>
      <w:pPr>
        <w:ind w:left="6522" w:hanging="180"/>
      </w:pPr>
    </w:lvl>
  </w:abstractNum>
  <w:abstractNum w:abstractNumId="36" w15:restartNumberingAfterBreak="0">
    <w:nsid w:val="5AEA7954"/>
    <w:multiLevelType w:val="hybridMultilevel"/>
    <w:tmpl w:val="B5564B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C097F70"/>
    <w:multiLevelType w:val="hybridMultilevel"/>
    <w:tmpl w:val="4FF871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C171881"/>
    <w:multiLevelType w:val="hybridMultilevel"/>
    <w:tmpl w:val="85A80118"/>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CCB18E5"/>
    <w:multiLevelType w:val="hybridMultilevel"/>
    <w:tmpl w:val="8BFE18C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15:restartNumberingAfterBreak="0">
    <w:nsid w:val="5CDC1E80"/>
    <w:multiLevelType w:val="hybridMultilevel"/>
    <w:tmpl w:val="7242B7C2"/>
    <w:lvl w:ilvl="0" w:tplc="04100017">
      <w:start w:val="1"/>
      <w:numFmt w:val="lowerLetter"/>
      <w:lvlText w:val="%1)"/>
      <w:lvlJc w:val="left"/>
      <w:pPr>
        <w:ind w:left="1428" w:hanging="360"/>
      </w:pPr>
    </w:lvl>
    <w:lvl w:ilvl="1" w:tplc="04100017">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1" w15:restartNumberingAfterBreak="0">
    <w:nsid w:val="5E583327"/>
    <w:multiLevelType w:val="hybridMultilevel"/>
    <w:tmpl w:val="27D8F2BA"/>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674384A"/>
    <w:multiLevelType w:val="hybridMultilevel"/>
    <w:tmpl w:val="570CC2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68C66FA"/>
    <w:multiLevelType w:val="hybridMultilevel"/>
    <w:tmpl w:val="49384D34"/>
    <w:lvl w:ilvl="0" w:tplc="E44A8E90">
      <w:start w:val="1"/>
      <w:numFmt w:val="bullet"/>
      <w:lvlText w:val="-"/>
      <w:lvlJc w:val="left"/>
      <w:pPr>
        <w:ind w:left="720" w:hanging="360"/>
      </w:pPr>
      <w:rPr>
        <w:rFonts w:ascii="Titillium" w:hAnsi="Titillium"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9076D4F"/>
    <w:multiLevelType w:val="hybridMultilevel"/>
    <w:tmpl w:val="C6FAF5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6BE20D84"/>
    <w:multiLevelType w:val="hybridMultilevel"/>
    <w:tmpl w:val="4F0C0D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F5B58BB"/>
    <w:multiLevelType w:val="hybridMultilevel"/>
    <w:tmpl w:val="5C221F0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F8521FA"/>
    <w:multiLevelType w:val="hybridMultilevel"/>
    <w:tmpl w:val="58DC643E"/>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8" w15:restartNumberingAfterBreak="0">
    <w:nsid w:val="70D026EF"/>
    <w:multiLevelType w:val="hybridMultilevel"/>
    <w:tmpl w:val="BD5C26BC"/>
    <w:lvl w:ilvl="0" w:tplc="04100017">
      <w:start w:val="1"/>
      <w:numFmt w:val="lowerLetter"/>
      <w:lvlText w:val="%1)"/>
      <w:lvlJc w:val="left"/>
      <w:pPr>
        <w:ind w:left="1428" w:hanging="360"/>
      </w:p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9" w15:restartNumberingAfterBreak="0">
    <w:nsid w:val="759076D4"/>
    <w:multiLevelType w:val="hybridMultilevel"/>
    <w:tmpl w:val="DEC0278C"/>
    <w:lvl w:ilvl="0" w:tplc="04100017">
      <w:start w:val="1"/>
      <w:numFmt w:val="lowerLetter"/>
      <w:lvlText w:val="%1)"/>
      <w:lvlJc w:val="left"/>
      <w:pPr>
        <w:ind w:left="762" w:hanging="360"/>
      </w:pPr>
    </w:lvl>
    <w:lvl w:ilvl="1" w:tplc="04100019" w:tentative="1">
      <w:start w:val="1"/>
      <w:numFmt w:val="lowerLetter"/>
      <w:lvlText w:val="%2."/>
      <w:lvlJc w:val="left"/>
      <w:pPr>
        <w:ind w:left="1482" w:hanging="360"/>
      </w:pPr>
    </w:lvl>
    <w:lvl w:ilvl="2" w:tplc="0410001B" w:tentative="1">
      <w:start w:val="1"/>
      <w:numFmt w:val="lowerRoman"/>
      <w:lvlText w:val="%3."/>
      <w:lvlJc w:val="right"/>
      <w:pPr>
        <w:ind w:left="2202" w:hanging="180"/>
      </w:pPr>
    </w:lvl>
    <w:lvl w:ilvl="3" w:tplc="0410000F" w:tentative="1">
      <w:start w:val="1"/>
      <w:numFmt w:val="decimal"/>
      <w:lvlText w:val="%4."/>
      <w:lvlJc w:val="left"/>
      <w:pPr>
        <w:ind w:left="2922" w:hanging="360"/>
      </w:pPr>
    </w:lvl>
    <w:lvl w:ilvl="4" w:tplc="04100019" w:tentative="1">
      <w:start w:val="1"/>
      <w:numFmt w:val="lowerLetter"/>
      <w:lvlText w:val="%5."/>
      <w:lvlJc w:val="left"/>
      <w:pPr>
        <w:ind w:left="3642" w:hanging="360"/>
      </w:pPr>
    </w:lvl>
    <w:lvl w:ilvl="5" w:tplc="0410001B" w:tentative="1">
      <w:start w:val="1"/>
      <w:numFmt w:val="lowerRoman"/>
      <w:lvlText w:val="%6."/>
      <w:lvlJc w:val="right"/>
      <w:pPr>
        <w:ind w:left="4362" w:hanging="180"/>
      </w:pPr>
    </w:lvl>
    <w:lvl w:ilvl="6" w:tplc="0410000F" w:tentative="1">
      <w:start w:val="1"/>
      <w:numFmt w:val="decimal"/>
      <w:lvlText w:val="%7."/>
      <w:lvlJc w:val="left"/>
      <w:pPr>
        <w:ind w:left="5082" w:hanging="360"/>
      </w:pPr>
    </w:lvl>
    <w:lvl w:ilvl="7" w:tplc="04100019" w:tentative="1">
      <w:start w:val="1"/>
      <w:numFmt w:val="lowerLetter"/>
      <w:lvlText w:val="%8."/>
      <w:lvlJc w:val="left"/>
      <w:pPr>
        <w:ind w:left="5802" w:hanging="360"/>
      </w:pPr>
    </w:lvl>
    <w:lvl w:ilvl="8" w:tplc="0410001B" w:tentative="1">
      <w:start w:val="1"/>
      <w:numFmt w:val="lowerRoman"/>
      <w:lvlText w:val="%9."/>
      <w:lvlJc w:val="right"/>
      <w:pPr>
        <w:ind w:left="6522" w:hanging="180"/>
      </w:pPr>
    </w:lvl>
  </w:abstractNum>
  <w:abstractNum w:abstractNumId="50" w15:restartNumberingAfterBreak="0">
    <w:nsid w:val="7A670C82"/>
    <w:multiLevelType w:val="hybridMultilevel"/>
    <w:tmpl w:val="5F244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CF93DFA"/>
    <w:multiLevelType w:val="hybridMultilevel"/>
    <w:tmpl w:val="1BD28956"/>
    <w:lvl w:ilvl="0" w:tplc="337EB402">
      <w:start w:val="1"/>
      <w:numFmt w:val="bullet"/>
      <w:lvlText w:val=""/>
      <w:lvlJc w:val="left"/>
      <w:pPr>
        <w:ind w:left="1068" w:hanging="360"/>
      </w:pPr>
      <w:rPr>
        <w:rFonts w:ascii="Wingdings" w:hAnsi="Wingdings" w:hint="default"/>
        <w:strike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28"/>
  </w:num>
  <w:num w:numId="2">
    <w:abstractNumId w:val="41"/>
  </w:num>
  <w:num w:numId="3">
    <w:abstractNumId w:val="13"/>
  </w:num>
  <w:num w:numId="4">
    <w:abstractNumId w:val="46"/>
  </w:num>
  <w:num w:numId="5">
    <w:abstractNumId w:val="47"/>
  </w:num>
  <w:num w:numId="6">
    <w:abstractNumId w:val="4"/>
  </w:num>
  <w:num w:numId="7">
    <w:abstractNumId w:val="21"/>
  </w:num>
  <w:num w:numId="8">
    <w:abstractNumId w:val="43"/>
  </w:num>
  <w:num w:numId="9">
    <w:abstractNumId w:val="20"/>
  </w:num>
  <w:num w:numId="10">
    <w:abstractNumId w:val="42"/>
  </w:num>
  <w:num w:numId="11">
    <w:abstractNumId w:val="19"/>
  </w:num>
  <w:num w:numId="12">
    <w:abstractNumId w:val="49"/>
  </w:num>
  <w:num w:numId="13">
    <w:abstractNumId w:val="29"/>
  </w:num>
  <w:num w:numId="14">
    <w:abstractNumId w:val="12"/>
  </w:num>
  <w:num w:numId="15">
    <w:abstractNumId w:val="8"/>
  </w:num>
  <w:num w:numId="16">
    <w:abstractNumId w:val="30"/>
  </w:num>
  <w:num w:numId="17">
    <w:abstractNumId w:val="50"/>
  </w:num>
  <w:num w:numId="18">
    <w:abstractNumId w:val="45"/>
  </w:num>
  <w:num w:numId="19">
    <w:abstractNumId w:val="51"/>
  </w:num>
  <w:num w:numId="20">
    <w:abstractNumId w:val="10"/>
  </w:num>
  <w:num w:numId="21">
    <w:abstractNumId w:val="6"/>
  </w:num>
  <w:num w:numId="22">
    <w:abstractNumId w:val="24"/>
  </w:num>
  <w:num w:numId="23">
    <w:abstractNumId w:val="31"/>
  </w:num>
  <w:num w:numId="24">
    <w:abstractNumId w:val="9"/>
  </w:num>
  <w:num w:numId="25">
    <w:abstractNumId w:val="17"/>
  </w:num>
  <w:num w:numId="26">
    <w:abstractNumId w:val="3"/>
  </w:num>
  <w:num w:numId="27">
    <w:abstractNumId w:val="2"/>
  </w:num>
  <w:num w:numId="28">
    <w:abstractNumId w:val="11"/>
  </w:num>
  <w:num w:numId="29">
    <w:abstractNumId w:val="14"/>
  </w:num>
  <w:num w:numId="30">
    <w:abstractNumId w:val="38"/>
  </w:num>
  <w:num w:numId="31">
    <w:abstractNumId w:val="34"/>
  </w:num>
  <w:num w:numId="32">
    <w:abstractNumId w:val="32"/>
  </w:num>
  <w:num w:numId="33">
    <w:abstractNumId w:val="5"/>
  </w:num>
  <w:num w:numId="34">
    <w:abstractNumId w:val="44"/>
  </w:num>
  <w:num w:numId="35">
    <w:abstractNumId w:val="15"/>
  </w:num>
  <w:num w:numId="36">
    <w:abstractNumId w:val="36"/>
  </w:num>
  <w:num w:numId="37">
    <w:abstractNumId w:val="39"/>
  </w:num>
  <w:num w:numId="38">
    <w:abstractNumId w:val="35"/>
  </w:num>
  <w:num w:numId="39">
    <w:abstractNumId w:val="25"/>
  </w:num>
  <w:num w:numId="40">
    <w:abstractNumId w:val="33"/>
  </w:num>
  <w:num w:numId="41">
    <w:abstractNumId w:val="0"/>
  </w:num>
  <w:num w:numId="42">
    <w:abstractNumId w:val="27"/>
  </w:num>
  <w:num w:numId="43">
    <w:abstractNumId w:val="37"/>
  </w:num>
  <w:num w:numId="44">
    <w:abstractNumId w:val="18"/>
  </w:num>
  <w:num w:numId="45">
    <w:abstractNumId w:val="26"/>
  </w:num>
  <w:num w:numId="46">
    <w:abstractNumId w:val="7"/>
  </w:num>
  <w:num w:numId="47">
    <w:abstractNumId w:val="1"/>
  </w:num>
  <w:num w:numId="48">
    <w:abstractNumId w:val="48"/>
  </w:num>
  <w:num w:numId="49">
    <w:abstractNumId w:val="40"/>
  </w:num>
  <w:num w:numId="50">
    <w:abstractNumId w:val="22"/>
  </w:num>
  <w:num w:numId="51">
    <w:abstractNumId w:val="16"/>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08"/>
  <w:hyphenationZone w:val="283"/>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25F"/>
    <w:rsid w:val="00000735"/>
    <w:rsid w:val="00000CB8"/>
    <w:rsid w:val="0000126C"/>
    <w:rsid w:val="0000151D"/>
    <w:rsid w:val="00001CC1"/>
    <w:rsid w:val="000020FA"/>
    <w:rsid w:val="000028AA"/>
    <w:rsid w:val="00002DAF"/>
    <w:rsid w:val="00003A92"/>
    <w:rsid w:val="00005072"/>
    <w:rsid w:val="00005714"/>
    <w:rsid w:val="0000628A"/>
    <w:rsid w:val="0000682E"/>
    <w:rsid w:val="0000742D"/>
    <w:rsid w:val="00007C02"/>
    <w:rsid w:val="0001081E"/>
    <w:rsid w:val="00010A41"/>
    <w:rsid w:val="00010C9B"/>
    <w:rsid w:val="0001126B"/>
    <w:rsid w:val="000112B3"/>
    <w:rsid w:val="00011394"/>
    <w:rsid w:val="000118E0"/>
    <w:rsid w:val="00011B1F"/>
    <w:rsid w:val="00011E2B"/>
    <w:rsid w:val="00011EB5"/>
    <w:rsid w:val="00011FC0"/>
    <w:rsid w:val="00012297"/>
    <w:rsid w:val="0001298E"/>
    <w:rsid w:val="000134AD"/>
    <w:rsid w:val="00013719"/>
    <w:rsid w:val="0001371D"/>
    <w:rsid w:val="00013FD6"/>
    <w:rsid w:val="0001451A"/>
    <w:rsid w:val="00014907"/>
    <w:rsid w:val="00014EF5"/>
    <w:rsid w:val="00014F96"/>
    <w:rsid w:val="0001556C"/>
    <w:rsid w:val="00015B57"/>
    <w:rsid w:val="0001609A"/>
    <w:rsid w:val="000168ED"/>
    <w:rsid w:val="00017428"/>
    <w:rsid w:val="0002050D"/>
    <w:rsid w:val="00020806"/>
    <w:rsid w:val="000215CB"/>
    <w:rsid w:val="00021981"/>
    <w:rsid w:val="00022485"/>
    <w:rsid w:val="000224A5"/>
    <w:rsid w:val="00022A3D"/>
    <w:rsid w:val="00024D18"/>
    <w:rsid w:val="000258CF"/>
    <w:rsid w:val="0002610D"/>
    <w:rsid w:val="0002636F"/>
    <w:rsid w:val="0002723A"/>
    <w:rsid w:val="0002753C"/>
    <w:rsid w:val="00031334"/>
    <w:rsid w:val="00031B0E"/>
    <w:rsid w:val="00032BAA"/>
    <w:rsid w:val="000332BF"/>
    <w:rsid w:val="00033F50"/>
    <w:rsid w:val="00034E2D"/>
    <w:rsid w:val="00035B93"/>
    <w:rsid w:val="00036141"/>
    <w:rsid w:val="000364F0"/>
    <w:rsid w:val="00036F09"/>
    <w:rsid w:val="0003722C"/>
    <w:rsid w:val="00037500"/>
    <w:rsid w:val="000379EF"/>
    <w:rsid w:val="00040596"/>
    <w:rsid w:val="0004062B"/>
    <w:rsid w:val="00040776"/>
    <w:rsid w:val="0004080D"/>
    <w:rsid w:val="0004086C"/>
    <w:rsid w:val="00041331"/>
    <w:rsid w:val="000414DD"/>
    <w:rsid w:val="00042F65"/>
    <w:rsid w:val="0004346A"/>
    <w:rsid w:val="00043D4C"/>
    <w:rsid w:val="000442E2"/>
    <w:rsid w:val="0004437B"/>
    <w:rsid w:val="00044919"/>
    <w:rsid w:val="00044ABA"/>
    <w:rsid w:val="000458ED"/>
    <w:rsid w:val="000460D9"/>
    <w:rsid w:val="0004668F"/>
    <w:rsid w:val="0004673E"/>
    <w:rsid w:val="000468B1"/>
    <w:rsid w:val="00046BE1"/>
    <w:rsid w:val="0004714F"/>
    <w:rsid w:val="000475BE"/>
    <w:rsid w:val="000477AD"/>
    <w:rsid w:val="000505BC"/>
    <w:rsid w:val="00050D54"/>
    <w:rsid w:val="00050FBD"/>
    <w:rsid w:val="000512F1"/>
    <w:rsid w:val="00051B13"/>
    <w:rsid w:val="00052116"/>
    <w:rsid w:val="00053A55"/>
    <w:rsid w:val="00054031"/>
    <w:rsid w:val="00054482"/>
    <w:rsid w:val="00054EDA"/>
    <w:rsid w:val="000558E9"/>
    <w:rsid w:val="000564E7"/>
    <w:rsid w:val="00056C2F"/>
    <w:rsid w:val="00057098"/>
    <w:rsid w:val="00057522"/>
    <w:rsid w:val="00057AD9"/>
    <w:rsid w:val="00057CE7"/>
    <w:rsid w:val="00057F71"/>
    <w:rsid w:val="00060627"/>
    <w:rsid w:val="00060FD7"/>
    <w:rsid w:val="00061384"/>
    <w:rsid w:val="000616CB"/>
    <w:rsid w:val="00062122"/>
    <w:rsid w:val="00063199"/>
    <w:rsid w:val="00063216"/>
    <w:rsid w:val="00063706"/>
    <w:rsid w:val="00063FCF"/>
    <w:rsid w:val="00065113"/>
    <w:rsid w:val="00065448"/>
    <w:rsid w:val="00065724"/>
    <w:rsid w:val="00065AC5"/>
    <w:rsid w:val="00067949"/>
    <w:rsid w:val="000700FA"/>
    <w:rsid w:val="00070687"/>
    <w:rsid w:val="00070BAB"/>
    <w:rsid w:val="00070C75"/>
    <w:rsid w:val="00070D48"/>
    <w:rsid w:val="00071048"/>
    <w:rsid w:val="0007188E"/>
    <w:rsid w:val="00071E87"/>
    <w:rsid w:val="0007210A"/>
    <w:rsid w:val="0007259B"/>
    <w:rsid w:val="0007271B"/>
    <w:rsid w:val="00072969"/>
    <w:rsid w:val="00072C88"/>
    <w:rsid w:val="0007330C"/>
    <w:rsid w:val="00073659"/>
    <w:rsid w:val="00073F3E"/>
    <w:rsid w:val="000749A2"/>
    <w:rsid w:val="00075419"/>
    <w:rsid w:val="000754B7"/>
    <w:rsid w:val="0007655D"/>
    <w:rsid w:val="000765A5"/>
    <w:rsid w:val="000777AB"/>
    <w:rsid w:val="00080041"/>
    <w:rsid w:val="00080654"/>
    <w:rsid w:val="00080809"/>
    <w:rsid w:val="00080CA8"/>
    <w:rsid w:val="0008110F"/>
    <w:rsid w:val="00081455"/>
    <w:rsid w:val="00081DD1"/>
    <w:rsid w:val="00082879"/>
    <w:rsid w:val="00082F2C"/>
    <w:rsid w:val="0008334A"/>
    <w:rsid w:val="00083482"/>
    <w:rsid w:val="000836C6"/>
    <w:rsid w:val="000838B9"/>
    <w:rsid w:val="00083EF3"/>
    <w:rsid w:val="000840C3"/>
    <w:rsid w:val="000842C3"/>
    <w:rsid w:val="00084FF1"/>
    <w:rsid w:val="00085AF0"/>
    <w:rsid w:val="0008608A"/>
    <w:rsid w:val="0008659D"/>
    <w:rsid w:val="00086BEE"/>
    <w:rsid w:val="00086CC4"/>
    <w:rsid w:val="0008760A"/>
    <w:rsid w:val="00087B29"/>
    <w:rsid w:val="00087BF2"/>
    <w:rsid w:val="00090166"/>
    <w:rsid w:val="000901ED"/>
    <w:rsid w:val="00090345"/>
    <w:rsid w:val="0009037B"/>
    <w:rsid w:val="00090A98"/>
    <w:rsid w:val="00090EEF"/>
    <w:rsid w:val="0009191B"/>
    <w:rsid w:val="0009223E"/>
    <w:rsid w:val="0009227E"/>
    <w:rsid w:val="000922A7"/>
    <w:rsid w:val="00092C6D"/>
    <w:rsid w:val="00094093"/>
    <w:rsid w:val="000940C9"/>
    <w:rsid w:val="000955EB"/>
    <w:rsid w:val="00095FD2"/>
    <w:rsid w:val="00095FDF"/>
    <w:rsid w:val="00096C78"/>
    <w:rsid w:val="00097065"/>
    <w:rsid w:val="00097592"/>
    <w:rsid w:val="00097813"/>
    <w:rsid w:val="000A017D"/>
    <w:rsid w:val="000A1897"/>
    <w:rsid w:val="000A2010"/>
    <w:rsid w:val="000A2CE8"/>
    <w:rsid w:val="000A346B"/>
    <w:rsid w:val="000A3A01"/>
    <w:rsid w:val="000A3CD9"/>
    <w:rsid w:val="000A435A"/>
    <w:rsid w:val="000A4593"/>
    <w:rsid w:val="000A478F"/>
    <w:rsid w:val="000A4864"/>
    <w:rsid w:val="000A4874"/>
    <w:rsid w:val="000A4FB7"/>
    <w:rsid w:val="000A5035"/>
    <w:rsid w:val="000A5667"/>
    <w:rsid w:val="000A6053"/>
    <w:rsid w:val="000A6A87"/>
    <w:rsid w:val="000A6FE9"/>
    <w:rsid w:val="000A7F7B"/>
    <w:rsid w:val="000B025A"/>
    <w:rsid w:val="000B0819"/>
    <w:rsid w:val="000B0833"/>
    <w:rsid w:val="000B0D79"/>
    <w:rsid w:val="000B0E78"/>
    <w:rsid w:val="000B0ED7"/>
    <w:rsid w:val="000B1181"/>
    <w:rsid w:val="000B14AF"/>
    <w:rsid w:val="000B16B4"/>
    <w:rsid w:val="000B188D"/>
    <w:rsid w:val="000B1A47"/>
    <w:rsid w:val="000B229D"/>
    <w:rsid w:val="000B23D9"/>
    <w:rsid w:val="000B2D72"/>
    <w:rsid w:val="000B31C9"/>
    <w:rsid w:val="000B346D"/>
    <w:rsid w:val="000B3735"/>
    <w:rsid w:val="000B377D"/>
    <w:rsid w:val="000B4043"/>
    <w:rsid w:val="000B436A"/>
    <w:rsid w:val="000B4814"/>
    <w:rsid w:val="000B4D27"/>
    <w:rsid w:val="000B5BE9"/>
    <w:rsid w:val="000B6139"/>
    <w:rsid w:val="000B7522"/>
    <w:rsid w:val="000B77DC"/>
    <w:rsid w:val="000B795B"/>
    <w:rsid w:val="000C007B"/>
    <w:rsid w:val="000C00CD"/>
    <w:rsid w:val="000C0216"/>
    <w:rsid w:val="000C0BC9"/>
    <w:rsid w:val="000C10B8"/>
    <w:rsid w:val="000C1A3E"/>
    <w:rsid w:val="000C1B56"/>
    <w:rsid w:val="000C1D35"/>
    <w:rsid w:val="000C20B1"/>
    <w:rsid w:val="000C2271"/>
    <w:rsid w:val="000C23C1"/>
    <w:rsid w:val="000C2E14"/>
    <w:rsid w:val="000C364A"/>
    <w:rsid w:val="000C3FF7"/>
    <w:rsid w:val="000C4065"/>
    <w:rsid w:val="000C4133"/>
    <w:rsid w:val="000C46DF"/>
    <w:rsid w:val="000C6CC7"/>
    <w:rsid w:val="000C6F64"/>
    <w:rsid w:val="000D088F"/>
    <w:rsid w:val="000D1B0C"/>
    <w:rsid w:val="000D1D2B"/>
    <w:rsid w:val="000D2706"/>
    <w:rsid w:val="000D2CE8"/>
    <w:rsid w:val="000D337A"/>
    <w:rsid w:val="000D3B05"/>
    <w:rsid w:val="000D43AD"/>
    <w:rsid w:val="000D450B"/>
    <w:rsid w:val="000D50F0"/>
    <w:rsid w:val="000D5367"/>
    <w:rsid w:val="000D6F8F"/>
    <w:rsid w:val="000D75C3"/>
    <w:rsid w:val="000D7760"/>
    <w:rsid w:val="000D77F4"/>
    <w:rsid w:val="000D781C"/>
    <w:rsid w:val="000D7CB9"/>
    <w:rsid w:val="000E0370"/>
    <w:rsid w:val="000E147E"/>
    <w:rsid w:val="000E17AB"/>
    <w:rsid w:val="000E1B5B"/>
    <w:rsid w:val="000E1D84"/>
    <w:rsid w:val="000E228F"/>
    <w:rsid w:val="000E24AF"/>
    <w:rsid w:val="000E3C4B"/>
    <w:rsid w:val="000E3C82"/>
    <w:rsid w:val="000E3D61"/>
    <w:rsid w:val="000E5422"/>
    <w:rsid w:val="000E63C1"/>
    <w:rsid w:val="000E7349"/>
    <w:rsid w:val="000E7418"/>
    <w:rsid w:val="000E7D95"/>
    <w:rsid w:val="000F0518"/>
    <w:rsid w:val="000F279A"/>
    <w:rsid w:val="000F2D61"/>
    <w:rsid w:val="000F3CD4"/>
    <w:rsid w:val="000F479C"/>
    <w:rsid w:val="000F52AE"/>
    <w:rsid w:val="000F56F4"/>
    <w:rsid w:val="000F58AB"/>
    <w:rsid w:val="000F5994"/>
    <w:rsid w:val="000F5E0A"/>
    <w:rsid w:val="000F726E"/>
    <w:rsid w:val="000F7579"/>
    <w:rsid w:val="000F7DF6"/>
    <w:rsid w:val="001007F0"/>
    <w:rsid w:val="00100A38"/>
    <w:rsid w:val="00101957"/>
    <w:rsid w:val="00102171"/>
    <w:rsid w:val="00102758"/>
    <w:rsid w:val="001031A8"/>
    <w:rsid w:val="00103691"/>
    <w:rsid w:val="00103B2F"/>
    <w:rsid w:val="001042F8"/>
    <w:rsid w:val="00104511"/>
    <w:rsid w:val="00104A59"/>
    <w:rsid w:val="00104C8E"/>
    <w:rsid w:val="001060C0"/>
    <w:rsid w:val="0010654C"/>
    <w:rsid w:val="00106EF2"/>
    <w:rsid w:val="00106FE3"/>
    <w:rsid w:val="00107162"/>
    <w:rsid w:val="00107319"/>
    <w:rsid w:val="00110873"/>
    <w:rsid w:val="001115A6"/>
    <w:rsid w:val="00111D50"/>
    <w:rsid w:val="00112D5A"/>
    <w:rsid w:val="00113B1D"/>
    <w:rsid w:val="00113BAC"/>
    <w:rsid w:val="00113CF5"/>
    <w:rsid w:val="0011438F"/>
    <w:rsid w:val="001149FF"/>
    <w:rsid w:val="00115089"/>
    <w:rsid w:val="00115ADD"/>
    <w:rsid w:val="001165CB"/>
    <w:rsid w:val="00116FAE"/>
    <w:rsid w:val="00117783"/>
    <w:rsid w:val="00117FC9"/>
    <w:rsid w:val="001209D5"/>
    <w:rsid w:val="00120C32"/>
    <w:rsid w:val="001220C6"/>
    <w:rsid w:val="001227EF"/>
    <w:rsid w:val="00122A73"/>
    <w:rsid w:val="00122C28"/>
    <w:rsid w:val="00122ECD"/>
    <w:rsid w:val="0012327A"/>
    <w:rsid w:val="00123527"/>
    <w:rsid w:val="00123AD6"/>
    <w:rsid w:val="00124290"/>
    <w:rsid w:val="00124941"/>
    <w:rsid w:val="0012513F"/>
    <w:rsid w:val="00125E03"/>
    <w:rsid w:val="001260DA"/>
    <w:rsid w:val="001262FE"/>
    <w:rsid w:val="001263FE"/>
    <w:rsid w:val="001268EB"/>
    <w:rsid w:val="001275EE"/>
    <w:rsid w:val="001277AE"/>
    <w:rsid w:val="00127E2E"/>
    <w:rsid w:val="00130466"/>
    <w:rsid w:val="00130BAA"/>
    <w:rsid w:val="00130C8F"/>
    <w:rsid w:val="00130DDC"/>
    <w:rsid w:val="00130FBA"/>
    <w:rsid w:val="00131521"/>
    <w:rsid w:val="001316C5"/>
    <w:rsid w:val="0013194C"/>
    <w:rsid w:val="00131A73"/>
    <w:rsid w:val="001323E5"/>
    <w:rsid w:val="00134862"/>
    <w:rsid w:val="00134904"/>
    <w:rsid w:val="001353CC"/>
    <w:rsid w:val="00135D2D"/>
    <w:rsid w:val="001360B8"/>
    <w:rsid w:val="001360DB"/>
    <w:rsid w:val="00136273"/>
    <w:rsid w:val="00136A25"/>
    <w:rsid w:val="0013732E"/>
    <w:rsid w:val="001377EA"/>
    <w:rsid w:val="0013786B"/>
    <w:rsid w:val="001403FD"/>
    <w:rsid w:val="001408E5"/>
    <w:rsid w:val="001417D6"/>
    <w:rsid w:val="001417FD"/>
    <w:rsid w:val="001425D6"/>
    <w:rsid w:val="00143205"/>
    <w:rsid w:val="0014352D"/>
    <w:rsid w:val="00143920"/>
    <w:rsid w:val="00143A6A"/>
    <w:rsid w:val="00143F56"/>
    <w:rsid w:val="001444A6"/>
    <w:rsid w:val="0014468D"/>
    <w:rsid w:val="00145B10"/>
    <w:rsid w:val="00145B53"/>
    <w:rsid w:val="00145C7A"/>
    <w:rsid w:val="00147738"/>
    <w:rsid w:val="00147D6A"/>
    <w:rsid w:val="00147E41"/>
    <w:rsid w:val="0015063E"/>
    <w:rsid w:val="0015188F"/>
    <w:rsid w:val="00151919"/>
    <w:rsid w:val="00151930"/>
    <w:rsid w:val="00151C0F"/>
    <w:rsid w:val="0015206E"/>
    <w:rsid w:val="0015269B"/>
    <w:rsid w:val="00153B19"/>
    <w:rsid w:val="001541DD"/>
    <w:rsid w:val="00154A77"/>
    <w:rsid w:val="00155BE1"/>
    <w:rsid w:val="00157B93"/>
    <w:rsid w:val="00157BAE"/>
    <w:rsid w:val="00157FEA"/>
    <w:rsid w:val="00160291"/>
    <w:rsid w:val="00161279"/>
    <w:rsid w:val="00161E93"/>
    <w:rsid w:val="00162EB7"/>
    <w:rsid w:val="00163042"/>
    <w:rsid w:val="0016320D"/>
    <w:rsid w:val="001637E7"/>
    <w:rsid w:val="00164ECD"/>
    <w:rsid w:val="001656FF"/>
    <w:rsid w:val="00165BE7"/>
    <w:rsid w:val="00166ADA"/>
    <w:rsid w:val="00166C15"/>
    <w:rsid w:val="00167508"/>
    <w:rsid w:val="00167863"/>
    <w:rsid w:val="00170315"/>
    <w:rsid w:val="00170705"/>
    <w:rsid w:val="001711D8"/>
    <w:rsid w:val="0017123C"/>
    <w:rsid w:val="00171413"/>
    <w:rsid w:val="001723AA"/>
    <w:rsid w:val="00172466"/>
    <w:rsid w:val="0017284B"/>
    <w:rsid w:val="00173590"/>
    <w:rsid w:val="00173A35"/>
    <w:rsid w:val="001745F3"/>
    <w:rsid w:val="00174689"/>
    <w:rsid w:val="001754AD"/>
    <w:rsid w:val="001770E4"/>
    <w:rsid w:val="0017787D"/>
    <w:rsid w:val="00177E6C"/>
    <w:rsid w:val="001804A8"/>
    <w:rsid w:val="0018069F"/>
    <w:rsid w:val="001807BC"/>
    <w:rsid w:val="0018136B"/>
    <w:rsid w:val="001813E3"/>
    <w:rsid w:val="00182C5D"/>
    <w:rsid w:val="00183112"/>
    <w:rsid w:val="001836F1"/>
    <w:rsid w:val="0018454A"/>
    <w:rsid w:val="00184AC2"/>
    <w:rsid w:val="00184C53"/>
    <w:rsid w:val="00184F08"/>
    <w:rsid w:val="001860E0"/>
    <w:rsid w:val="0018673F"/>
    <w:rsid w:val="00186941"/>
    <w:rsid w:val="00187229"/>
    <w:rsid w:val="00187AA7"/>
    <w:rsid w:val="00187B85"/>
    <w:rsid w:val="00190DA1"/>
    <w:rsid w:val="00191126"/>
    <w:rsid w:val="0019166A"/>
    <w:rsid w:val="00191B36"/>
    <w:rsid w:val="00192440"/>
    <w:rsid w:val="00192C8C"/>
    <w:rsid w:val="00193A51"/>
    <w:rsid w:val="001940FD"/>
    <w:rsid w:val="00195119"/>
    <w:rsid w:val="001954F7"/>
    <w:rsid w:val="00195887"/>
    <w:rsid w:val="00195ACC"/>
    <w:rsid w:val="00195F88"/>
    <w:rsid w:val="00196246"/>
    <w:rsid w:val="00196394"/>
    <w:rsid w:val="00196485"/>
    <w:rsid w:val="0019657B"/>
    <w:rsid w:val="0019719C"/>
    <w:rsid w:val="00197E20"/>
    <w:rsid w:val="001A125F"/>
    <w:rsid w:val="001A14AE"/>
    <w:rsid w:val="001A14EE"/>
    <w:rsid w:val="001A17E5"/>
    <w:rsid w:val="001A1DD6"/>
    <w:rsid w:val="001A1E0B"/>
    <w:rsid w:val="001A203C"/>
    <w:rsid w:val="001A2979"/>
    <w:rsid w:val="001A2CE2"/>
    <w:rsid w:val="001A3515"/>
    <w:rsid w:val="001A3546"/>
    <w:rsid w:val="001A4392"/>
    <w:rsid w:val="001A4623"/>
    <w:rsid w:val="001A49FA"/>
    <w:rsid w:val="001A4A5E"/>
    <w:rsid w:val="001A537A"/>
    <w:rsid w:val="001A59CA"/>
    <w:rsid w:val="001A5B91"/>
    <w:rsid w:val="001A6607"/>
    <w:rsid w:val="001A66D4"/>
    <w:rsid w:val="001A7D31"/>
    <w:rsid w:val="001A7EF1"/>
    <w:rsid w:val="001B03F8"/>
    <w:rsid w:val="001B0720"/>
    <w:rsid w:val="001B170A"/>
    <w:rsid w:val="001B1E0B"/>
    <w:rsid w:val="001B1E4B"/>
    <w:rsid w:val="001B2004"/>
    <w:rsid w:val="001B2F83"/>
    <w:rsid w:val="001B5303"/>
    <w:rsid w:val="001B5674"/>
    <w:rsid w:val="001B56DE"/>
    <w:rsid w:val="001B6416"/>
    <w:rsid w:val="001B6F38"/>
    <w:rsid w:val="001B7852"/>
    <w:rsid w:val="001C0B06"/>
    <w:rsid w:val="001C0F27"/>
    <w:rsid w:val="001C133A"/>
    <w:rsid w:val="001C1620"/>
    <w:rsid w:val="001C2901"/>
    <w:rsid w:val="001C3091"/>
    <w:rsid w:val="001C34D0"/>
    <w:rsid w:val="001C39EB"/>
    <w:rsid w:val="001C39F1"/>
    <w:rsid w:val="001C3E20"/>
    <w:rsid w:val="001C652E"/>
    <w:rsid w:val="001C79A9"/>
    <w:rsid w:val="001D11DC"/>
    <w:rsid w:val="001D1A17"/>
    <w:rsid w:val="001D1F04"/>
    <w:rsid w:val="001D21B6"/>
    <w:rsid w:val="001D2642"/>
    <w:rsid w:val="001D2C41"/>
    <w:rsid w:val="001D2D12"/>
    <w:rsid w:val="001D2D32"/>
    <w:rsid w:val="001D2D56"/>
    <w:rsid w:val="001D30C7"/>
    <w:rsid w:val="001D3100"/>
    <w:rsid w:val="001D3631"/>
    <w:rsid w:val="001D463A"/>
    <w:rsid w:val="001D50B2"/>
    <w:rsid w:val="001D5AFB"/>
    <w:rsid w:val="001D63BB"/>
    <w:rsid w:val="001D6663"/>
    <w:rsid w:val="001D7250"/>
    <w:rsid w:val="001D7273"/>
    <w:rsid w:val="001D7E60"/>
    <w:rsid w:val="001E0412"/>
    <w:rsid w:val="001E04D1"/>
    <w:rsid w:val="001E09B8"/>
    <w:rsid w:val="001E0CE2"/>
    <w:rsid w:val="001E0E44"/>
    <w:rsid w:val="001E0E9A"/>
    <w:rsid w:val="001E15C9"/>
    <w:rsid w:val="001E15CF"/>
    <w:rsid w:val="001E180F"/>
    <w:rsid w:val="001E18AC"/>
    <w:rsid w:val="001E1F35"/>
    <w:rsid w:val="001E26CB"/>
    <w:rsid w:val="001E2AD9"/>
    <w:rsid w:val="001E443D"/>
    <w:rsid w:val="001E4AE7"/>
    <w:rsid w:val="001E614B"/>
    <w:rsid w:val="001E6D77"/>
    <w:rsid w:val="001E7ABF"/>
    <w:rsid w:val="001E7D63"/>
    <w:rsid w:val="001E7DF5"/>
    <w:rsid w:val="001E7FC2"/>
    <w:rsid w:val="001E7FD4"/>
    <w:rsid w:val="001F042D"/>
    <w:rsid w:val="001F0FC2"/>
    <w:rsid w:val="001F14D7"/>
    <w:rsid w:val="001F2E99"/>
    <w:rsid w:val="001F3D1F"/>
    <w:rsid w:val="001F3FAF"/>
    <w:rsid w:val="001F4043"/>
    <w:rsid w:val="001F439A"/>
    <w:rsid w:val="001F47F7"/>
    <w:rsid w:val="001F4FED"/>
    <w:rsid w:val="001F5290"/>
    <w:rsid w:val="001F5608"/>
    <w:rsid w:val="001F56DB"/>
    <w:rsid w:val="001F5B83"/>
    <w:rsid w:val="001F7B94"/>
    <w:rsid w:val="002005AE"/>
    <w:rsid w:val="002010DB"/>
    <w:rsid w:val="002017A5"/>
    <w:rsid w:val="00201897"/>
    <w:rsid w:val="00202A90"/>
    <w:rsid w:val="00202DD7"/>
    <w:rsid w:val="00203EAB"/>
    <w:rsid w:val="00204291"/>
    <w:rsid w:val="00204573"/>
    <w:rsid w:val="00205246"/>
    <w:rsid w:val="0020543B"/>
    <w:rsid w:val="002062FF"/>
    <w:rsid w:val="002067A7"/>
    <w:rsid w:val="002075B2"/>
    <w:rsid w:val="002077EF"/>
    <w:rsid w:val="0021026E"/>
    <w:rsid w:val="002107BB"/>
    <w:rsid w:val="00210BAD"/>
    <w:rsid w:val="00210D5F"/>
    <w:rsid w:val="002125A2"/>
    <w:rsid w:val="002127AD"/>
    <w:rsid w:val="00212AB1"/>
    <w:rsid w:val="0021302D"/>
    <w:rsid w:val="0021376C"/>
    <w:rsid w:val="002138A3"/>
    <w:rsid w:val="00213C9F"/>
    <w:rsid w:val="00213FA5"/>
    <w:rsid w:val="0021459B"/>
    <w:rsid w:val="002147CC"/>
    <w:rsid w:val="00214C83"/>
    <w:rsid w:val="00214E98"/>
    <w:rsid w:val="00215EA0"/>
    <w:rsid w:val="0021610D"/>
    <w:rsid w:val="0021631C"/>
    <w:rsid w:val="00216441"/>
    <w:rsid w:val="0021688C"/>
    <w:rsid w:val="002168E4"/>
    <w:rsid w:val="00217254"/>
    <w:rsid w:val="00217282"/>
    <w:rsid w:val="002176BA"/>
    <w:rsid w:val="0022046D"/>
    <w:rsid w:val="00220491"/>
    <w:rsid w:val="00221233"/>
    <w:rsid w:val="0022169E"/>
    <w:rsid w:val="00221855"/>
    <w:rsid w:val="0022188C"/>
    <w:rsid w:val="00221B2F"/>
    <w:rsid w:val="00221B6F"/>
    <w:rsid w:val="0022222B"/>
    <w:rsid w:val="00222C58"/>
    <w:rsid w:val="0022311E"/>
    <w:rsid w:val="002236E7"/>
    <w:rsid w:val="00224031"/>
    <w:rsid w:val="00224536"/>
    <w:rsid w:val="00224856"/>
    <w:rsid w:val="00224E03"/>
    <w:rsid w:val="002253B7"/>
    <w:rsid w:val="00225B12"/>
    <w:rsid w:val="002261BF"/>
    <w:rsid w:val="00226419"/>
    <w:rsid w:val="002265EB"/>
    <w:rsid w:val="00227ACD"/>
    <w:rsid w:val="00227EA9"/>
    <w:rsid w:val="002303E9"/>
    <w:rsid w:val="0023059E"/>
    <w:rsid w:val="00230ADA"/>
    <w:rsid w:val="00230B8B"/>
    <w:rsid w:val="00230ECE"/>
    <w:rsid w:val="00231E3E"/>
    <w:rsid w:val="00231F9C"/>
    <w:rsid w:val="0023217C"/>
    <w:rsid w:val="002327A0"/>
    <w:rsid w:val="002336A4"/>
    <w:rsid w:val="00234A77"/>
    <w:rsid w:val="00234D42"/>
    <w:rsid w:val="002355C6"/>
    <w:rsid w:val="00235F0D"/>
    <w:rsid w:val="00236529"/>
    <w:rsid w:val="002367C4"/>
    <w:rsid w:val="00236CE3"/>
    <w:rsid w:val="00237104"/>
    <w:rsid w:val="002373CA"/>
    <w:rsid w:val="00237429"/>
    <w:rsid w:val="002374F8"/>
    <w:rsid w:val="002375B8"/>
    <w:rsid w:val="00240437"/>
    <w:rsid w:val="0024066B"/>
    <w:rsid w:val="00240A9E"/>
    <w:rsid w:val="002410AE"/>
    <w:rsid w:val="0024126F"/>
    <w:rsid w:val="00241449"/>
    <w:rsid w:val="002418F0"/>
    <w:rsid w:val="002418FD"/>
    <w:rsid w:val="00242167"/>
    <w:rsid w:val="00242706"/>
    <w:rsid w:val="00242D96"/>
    <w:rsid w:val="0024313D"/>
    <w:rsid w:val="0024336A"/>
    <w:rsid w:val="0024462C"/>
    <w:rsid w:val="002458EE"/>
    <w:rsid w:val="00245A31"/>
    <w:rsid w:val="002462CF"/>
    <w:rsid w:val="00246550"/>
    <w:rsid w:val="002465F1"/>
    <w:rsid w:val="002467C4"/>
    <w:rsid w:val="00247305"/>
    <w:rsid w:val="00247707"/>
    <w:rsid w:val="002478EA"/>
    <w:rsid w:val="0025018A"/>
    <w:rsid w:val="00250FA0"/>
    <w:rsid w:val="0025108E"/>
    <w:rsid w:val="00251362"/>
    <w:rsid w:val="00251443"/>
    <w:rsid w:val="00251D44"/>
    <w:rsid w:val="00251D71"/>
    <w:rsid w:val="00252199"/>
    <w:rsid w:val="00252353"/>
    <w:rsid w:val="0025329A"/>
    <w:rsid w:val="00253C63"/>
    <w:rsid w:val="00253F5D"/>
    <w:rsid w:val="00254002"/>
    <w:rsid w:val="002545E5"/>
    <w:rsid w:val="00254BFC"/>
    <w:rsid w:val="00254C87"/>
    <w:rsid w:val="002550B7"/>
    <w:rsid w:val="00255614"/>
    <w:rsid w:val="002556D7"/>
    <w:rsid w:val="002557F4"/>
    <w:rsid w:val="00255A50"/>
    <w:rsid w:val="00255F9D"/>
    <w:rsid w:val="002568A2"/>
    <w:rsid w:val="0025724A"/>
    <w:rsid w:val="00257634"/>
    <w:rsid w:val="002576AF"/>
    <w:rsid w:val="002604C0"/>
    <w:rsid w:val="002604EF"/>
    <w:rsid w:val="00260AA4"/>
    <w:rsid w:val="0026134F"/>
    <w:rsid w:val="0026171B"/>
    <w:rsid w:val="0026275A"/>
    <w:rsid w:val="00262909"/>
    <w:rsid w:val="00262B8D"/>
    <w:rsid w:val="00262F55"/>
    <w:rsid w:val="002632F0"/>
    <w:rsid w:val="00264AE8"/>
    <w:rsid w:val="00264F06"/>
    <w:rsid w:val="0026540A"/>
    <w:rsid w:val="00265C94"/>
    <w:rsid w:val="00266306"/>
    <w:rsid w:val="0026669B"/>
    <w:rsid w:val="0026709E"/>
    <w:rsid w:val="00267356"/>
    <w:rsid w:val="00267669"/>
    <w:rsid w:val="00267A4E"/>
    <w:rsid w:val="00270401"/>
    <w:rsid w:val="00271A82"/>
    <w:rsid w:val="002727C4"/>
    <w:rsid w:val="00272DB6"/>
    <w:rsid w:val="002748F4"/>
    <w:rsid w:val="00275E00"/>
    <w:rsid w:val="00275F2C"/>
    <w:rsid w:val="002771C7"/>
    <w:rsid w:val="00277485"/>
    <w:rsid w:val="00277CC8"/>
    <w:rsid w:val="002803B0"/>
    <w:rsid w:val="002805A3"/>
    <w:rsid w:val="00280A23"/>
    <w:rsid w:val="002818B5"/>
    <w:rsid w:val="00281922"/>
    <w:rsid w:val="00281CA9"/>
    <w:rsid w:val="00281DE9"/>
    <w:rsid w:val="002822D1"/>
    <w:rsid w:val="00282B33"/>
    <w:rsid w:val="00282DDB"/>
    <w:rsid w:val="00283518"/>
    <w:rsid w:val="00283E55"/>
    <w:rsid w:val="00284000"/>
    <w:rsid w:val="0028436A"/>
    <w:rsid w:val="00284708"/>
    <w:rsid w:val="002849D8"/>
    <w:rsid w:val="00284AC6"/>
    <w:rsid w:val="00285981"/>
    <w:rsid w:val="0028665B"/>
    <w:rsid w:val="00287D86"/>
    <w:rsid w:val="002907F3"/>
    <w:rsid w:val="00290975"/>
    <w:rsid w:val="002909AB"/>
    <w:rsid w:val="00290F2D"/>
    <w:rsid w:val="0029168C"/>
    <w:rsid w:val="0029318D"/>
    <w:rsid w:val="0029356D"/>
    <w:rsid w:val="00293F2E"/>
    <w:rsid w:val="00294098"/>
    <w:rsid w:val="00294970"/>
    <w:rsid w:val="00295948"/>
    <w:rsid w:val="0029597F"/>
    <w:rsid w:val="00295DC6"/>
    <w:rsid w:val="002960B9"/>
    <w:rsid w:val="0029706C"/>
    <w:rsid w:val="00297388"/>
    <w:rsid w:val="002978DC"/>
    <w:rsid w:val="00297F5C"/>
    <w:rsid w:val="002A01D9"/>
    <w:rsid w:val="002A12FD"/>
    <w:rsid w:val="002A16C3"/>
    <w:rsid w:val="002A1AF4"/>
    <w:rsid w:val="002A25AF"/>
    <w:rsid w:val="002A3A53"/>
    <w:rsid w:val="002A3B34"/>
    <w:rsid w:val="002A4E2E"/>
    <w:rsid w:val="002A53DA"/>
    <w:rsid w:val="002A545A"/>
    <w:rsid w:val="002A576B"/>
    <w:rsid w:val="002A5A9C"/>
    <w:rsid w:val="002A618C"/>
    <w:rsid w:val="002A6454"/>
    <w:rsid w:val="002A64F2"/>
    <w:rsid w:val="002A66A3"/>
    <w:rsid w:val="002A7448"/>
    <w:rsid w:val="002A7ED7"/>
    <w:rsid w:val="002B04AB"/>
    <w:rsid w:val="002B09D2"/>
    <w:rsid w:val="002B0DA2"/>
    <w:rsid w:val="002B173F"/>
    <w:rsid w:val="002B246A"/>
    <w:rsid w:val="002B2A34"/>
    <w:rsid w:val="002B2A58"/>
    <w:rsid w:val="002B2DC8"/>
    <w:rsid w:val="002B3F30"/>
    <w:rsid w:val="002B40E9"/>
    <w:rsid w:val="002B446E"/>
    <w:rsid w:val="002B473B"/>
    <w:rsid w:val="002B4751"/>
    <w:rsid w:val="002B4A96"/>
    <w:rsid w:val="002B5016"/>
    <w:rsid w:val="002B5ACE"/>
    <w:rsid w:val="002B5BE9"/>
    <w:rsid w:val="002B6360"/>
    <w:rsid w:val="002B6CD8"/>
    <w:rsid w:val="002C021C"/>
    <w:rsid w:val="002C1976"/>
    <w:rsid w:val="002C22CA"/>
    <w:rsid w:val="002C246B"/>
    <w:rsid w:val="002C2692"/>
    <w:rsid w:val="002C2755"/>
    <w:rsid w:val="002C350B"/>
    <w:rsid w:val="002C432B"/>
    <w:rsid w:val="002C49E7"/>
    <w:rsid w:val="002C4CA4"/>
    <w:rsid w:val="002C67F7"/>
    <w:rsid w:val="002C6E57"/>
    <w:rsid w:val="002C732A"/>
    <w:rsid w:val="002C7B61"/>
    <w:rsid w:val="002D01D5"/>
    <w:rsid w:val="002D0370"/>
    <w:rsid w:val="002D16CF"/>
    <w:rsid w:val="002D1E28"/>
    <w:rsid w:val="002D1FE0"/>
    <w:rsid w:val="002D2186"/>
    <w:rsid w:val="002D249C"/>
    <w:rsid w:val="002D26FA"/>
    <w:rsid w:val="002D2727"/>
    <w:rsid w:val="002D3183"/>
    <w:rsid w:val="002D350D"/>
    <w:rsid w:val="002D3C08"/>
    <w:rsid w:val="002D3DD9"/>
    <w:rsid w:val="002D41EA"/>
    <w:rsid w:val="002D4809"/>
    <w:rsid w:val="002D4B94"/>
    <w:rsid w:val="002D4E4D"/>
    <w:rsid w:val="002D592C"/>
    <w:rsid w:val="002D640A"/>
    <w:rsid w:val="002D67FF"/>
    <w:rsid w:val="002D68CB"/>
    <w:rsid w:val="002D6D20"/>
    <w:rsid w:val="002D7328"/>
    <w:rsid w:val="002D7837"/>
    <w:rsid w:val="002D7B0F"/>
    <w:rsid w:val="002E0026"/>
    <w:rsid w:val="002E089F"/>
    <w:rsid w:val="002E0969"/>
    <w:rsid w:val="002E10E7"/>
    <w:rsid w:val="002E1838"/>
    <w:rsid w:val="002E2649"/>
    <w:rsid w:val="002E2CB9"/>
    <w:rsid w:val="002E2E11"/>
    <w:rsid w:val="002E34C0"/>
    <w:rsid w:val="002E3DB4"/>
    <w:rsid w:val="002E43B3"/>
    <w:rsid w:val="002E50EF"/>
    <w:rsid w:val="002E5780"/>
    <w:rsid w:val="002E5BD6"/>
    <w:rsid w:val="002E5F8E"/>
    <w:rsid w:val="002E630A"/>
    <w:rsid w:val="002E6941"/>
    <w:rsid w:val="002E6F2C"/>
    <w:rsid w:val="002E73D2"/>
    <w:rsid w:val="002E7B24"/>
    <w:rsid w:val="002E7EC5"/>
    <w:rsid w:val="002F069F"/>
    <w:rsid w:val="002F0783"/>
    <w:rsid w:val="002F0C0B"/>
    <w:rsid w:val="002F10EE"/>
    <w:rsid w:val="002F1ABC"/>
    <w:rsid w:val="002F1B1F"/>
    <w:rsid w:val="002F2576"/>
    <w:rsid w:val="002F271D"/>
    <w:rsid w:val="002F279C"/>
    <w:rsid w:val="002F2F72"/>
    <w:rsid w:val="002F3338"/>
    <w:rsid w:val="002F3FE1"/>
    <w:rsid w:val="002F473E"/>
    <w:rsid w:val="002F491B"/>
    <w:rsid w:val="002F5D2A"/>
    <w:rsid w:val="002F5FF0"/>
    <w:rsid w:val="002F6689"/>
    <w:rsid w:val="002F686B"/>
    <w:rsid w:val="002F6955"/>
    <w:rsid w:val="002F6AB5"/>
    <w:rsid w:val="002F6CAE"/>
    <w:rsid w:val="002F7294"/>
    <w:rsid w:val="002F79E5"/>
    <w:rsid w:val="002F7B54"/>
    <w:rsid w:val="003001A4"/>
    <w:rsid w:val="00300772"/>
    <w:rsid w:val="003011F8"/>
    <w:rsid w:val="00301413"/>
    <w:rsid w:val="00301602"/>
    <w:rsid w:val="00301681"/>
    <w:rsid w:val="00302C10"/>
    <w:rsid w:val="003031D3"/>
    <w:rsid w:val="003033AB"/>
    <w:rsid w:val="00303ADF"/>
    <w:rsid w:val="003041BF"/>
    <w:rsid w:val="00304508"/>
    <w:rsid w:val="00305022"/>
    <w:rsid w:val="00305BE0"/>
    <w:rsid w:val="00305CD2"/>
    <w:rsid w:val="00306D81"/>
    <w:rsid w:val="00307887"/>
    <w:rsid w:val="00307B48"/>
    <w:rsid w:val="003105E2"/>
    <w:rsid w:val="003111CF"/>
    <w:rsid w:val="0031174D"/>
    <w:rsid w:val="00312F8F"/>
    <w:rsid w:val="00313341"/>
    <w:rsid w:val="003134C9"/>
    <w:rsid w:val="00314385"/>
    <w:rsid w:val="00314545"/>
    <w:rsid w:val="00314784"/>
    <w:rsid w:val="00314898"/>
    <w:rsid w:val="00314A67"/>
    <w:rsid w:val="0031541A"/>
    <w:rsid w:val="00317046"/>
    <w:rsid w:val="003177A6"/>
    <w:rsid w:val="0031795C"/>
    <w:rsid w:val="00320336"/>
    <w:rsid w:val="00320EAD"/>
    <w:rsid w:val="00321327"/>
    <w:rsid w:val="003213E6"/>
    <w:rsid w:val="0032147D"/>
    <w:rsid w:val="0032191D"/>
    <w:rsid w:val="00321F6B"/>
    <w:rsid w:val="003224E2"/>
    <w:rsid w:val="003227CD"/>
    <w:rsid w:val="00322B97"/>
    <w:rsid w:val="00322D24"/>
    <w:rsid w:val="00322DA9"/>
    <w:rsid w:val="00323D95"/>
    <w:rsid w:val="00324060"/>
    <w:rsid w:val="00324963"/>
    <w:rsid w:val="0032499D"/>
    <w:rsid w:val="00324AE4"/>
    <w:rsid w:val="00324B3F"/>
    <w:rsid w:val="00324C32"/>
    <w:rsid w:val="00325558"/>
    <w:rsid w:val="00326428"/>
    <w:rsid w:val="003271C8"/>
    <w:rsid w:val="00327C87"/>
    <w:rsid w:val="003303F1"/>
    <w:rsid w:val="00330A22"/>
    <w:rsid w:val="00331006"/>
    <w:rsid w:val="003310C2"/>
    <w:rsid w:val="00331240"/>
    <w:rsid w:val="00331410"/>
    <w:rsid w:val="00331AE1"/>
    <w:rsid w:val="003327C5"/>
    <w:rsid w:val="003327DF"/>
    <w:rsid w:val="0033284A"/>
    <w:rsid w:val="00333793"/>
    <w:rsid w:val="00333877"/>
    <w:rsid w:val="003340E6"/>
    <w:rsid w:val="00334237"/>
    <w:rsid w:val="0033482F"/>
    <w:rsid w:val="00334CC7"/>
    <w:rsid w:val="00334EF2"/>
    <w:rsid w:val="003353CC"/>
    <w:rsid w:val="00335572"/>
    <w:rsid w:val="003358FB"/>
    <w:rsid w:val="003361AF"/>
    <w:rsid w:val="00337143"/>
    <w:rsid w:val="003379F9"/>
    <w:rsid w:val="00337A98"/>
    <w:rsid w:val="00337B69"/>
    <w:rsid w:val="00337D4B"/>
    <w:rsid w:val="00337DEA"/>
    <w:rsid w:val="00337F53"/>
    <w:rsid w:val="003406FB"/>
    <w:rsid w:val="003412EE"/>
    <w:rsid w:val="00342CF7"/>
    <w:rsid w:val="00343141"/>
    <w:rsid w:val="00343CB2"/>
    <w:rsid w:val="0034443B"/>
    <w:rsid w:val="0034458E"/>
    <w:rsid w:val="003454FB"/>
    <w:rsid w:val="00345505"/>
    <w:rsid w:val="00345CC8"/>
    <w:rsid w:val="00345D03"/>
    <w:rsid w:val="00345DA3"/>
    <w:rsid w:val="003461EE"/>
    <w:rsid w:val="00346B99"/>
    <w:rsid w:val="00347173"/>
    <w:rsid w:val="00350711"/>
    <w:rsid w:val="00351727"/>
    <w:rsid w:val="00351878"/>
    <w:rsid w:val="00351A4D"/>
    <w:rsid w:val="00351FCD"/>
    <w:rsid w:val="003521CA"/>
    <w:rsid w:val="0035234C"/>
    <w:rsid w:val="003527EA"/>
    <w:rsid w:val="00352E34"/>
    <w:rsid w:val="00353B7D"/>
    <w:rsid w:val="00353BAD"/>
    <w:rsid w:val="00353C7A"/>
    <w:rsid w:val="00353E79"/>
    <w:rsid w:val="003540FB"/>
    <w:rsid w:val="003546E8"/>
    <w:rsid w:val="00354775"/>
    <w:rsid w:val="003558CF"/>
    <w:rsid w:val="0035768B"/>
    <w:rsid w:val="00360048"/>
    <w:rsid w:val="0036061B"/>
    <w:rsid w:val="00360A49"/>
    <w:rsid w:val="003614C0"/>
    <w:rsid w:val="003617D5"/>
    <w:rsid w:val="00361DB9"/>
    <w:rsid w:val="00361E3B"/>
    <w:rsid w:val="003625E2"/>
    <w:rsid w:val="0036261F"/>
    <w:rsid w:val="00363C48"/>
    <w:rsid w:val="00363E10"/>
    <w:rsid w:val="00364DBB"/>
    <w:rsid w:val="00364E52"/>
    <w:rsid w:val="003651C9"/>
    <w:rsid w:val="0036547B"/>
    <w:rsid w:val="00365CF6"/>
    <w:rsid w:val="003668B2"/>
    <w:rsid w:val="00366E0D"/>
    <w:rsid w:val="00367932"/>
    <w:rsid w:val="00370DB9"/>
    <w:rsid w:val="003710BB"/>
    <w:rsid w:val="003712C6"/>
    <w:rsid w:val="003715A1"/>
    <w:rsid w:val="00371861"/>
    <w:rsid w:val="0037232F"/>
    <w:rsid w:val="00372AC0"/>
    <w:rsid w:val="00373B99"/>
    <w:rsid w:val="00373DBA"/>
    <w:rsid w:val="00374087"/>
    <w:rsid w:val="00374803"/>
    <w:rsid w:val="00374A01"/>
    <w:rsid w:val="00374CBC"/>
    <w:rsid w:val="00375C6E"/>
    <w:rsid w:val="00375CD0"/>
    <w:rsid w:val="003760AB"/>
    <w:rsid w:val="003765EB"/>
    <w:rsid w:val="00376909"/>
    <w:rsid w:val="00377937"/>
    <w:rsid w:val="00377CE2"/>
    <w:rsid w:val="00380575"/>
    <w:rsid w:val="00380ECA"/>
    <w:rsid w:val="00381011"/>
    <w:rsid w:val="0038136A"/>
    <w:rsid w:val="00381C5E"/>
    <w:rsid w:val="003822F6"/>
    <w:rsid w:val="00382469"/>
    <w:rsid w:val="0038266E"/>
    <w:rsid w:val="00383BC6"/>
    <w:rsid w:val="00384244"/>
    <w:rsid w:val="00384627"/>
    <w:rsid w:val="00384AD2"/>
    <w:rsid w:val="003850BC"/>
    <w:rsid w:val="003853DF"/>
    <w:rsid w:val="0038645B"/>
    <w:rsid w:val="00386B74"/>
    <w:rsid w:val="00386C4B"/>
    <w:rsid w:val="003871DE"/>
    <w:rsid w:val="00390319"/>
    <w:rsid w:val="003913DA"/>
    <w:rsid w:val="00391786"/>
    <w:rsid w:val="00391C74"/>
    <w:rsid w:val="0039236B"/>
    <w:rsid w:val="0039242C"/>
    <w:rsid w:val="00392984"/>
    <w:rsid w:val="00393D81"/>
    <w:rsid w:val="00393DFC"/>
    <w:rsid w:val="00396100"/>
    <w:rsid w:val="003961D2"/>
    <w:rsid w:val="0039685D"/>
    <w:rsid w:val="00396A90"/>
    <w:rsid w:val="003977FE"/>
    <w:rsid w:val="00397AA9"/>
    <w:rsid w:val="003A0829"/>
    <w:rsid w:val="003A1430"/>
    <w:rsid w:val="003A17D1"/>
    <w:rsid w:val="003A33DA"/>
    <w:rsid w:val="003A3BDA"/>
    <w:rsid w:val="003A427D"/>
    <w:rsid w:val="003A581E"/>
    <w:rsid w:val="003A5C97"/>
    <w:rsid w:val="003A5CCC"/>
    <w:rsid w:val="003A5DAC"/>
    <w:rsid w:val="003A5EFE"/>
    <w:rsid w:val="003A609E"/>
    <w:rsid w:val="003A6564"/>
    <w:rsid w:val="003A6872"/>
    <w:rsid w:val="003A68F8"/>
    <w:rsid w:val="003A6D51"/>
    <w:rsid w:val="003A7877"/>
    <w:rsid w:val="003B09BD"/>
    <w:rsid w:val="003B103A"/>
    <w:rsid w:val="003B1467"/>
    <w:rsid w:val="003B167A"/>
    <w:rsid w:val="003B353B"/>
    <w:rsid w:val="003B382C"/>
    <w:rsid w:val="003B3DC3"/>
    <w:rsid w:val="003B52BD"/>
    <w:rsid w:val="003B5F44"/>
    <w:rsid w:val="003B64C7"/>
    <w:rsid w:val="003B6AEE"/>
    <w:rsid w:val="003B7022"/>
    <w:rsid w:val="003C0035"/>
    <w:rsid w:val="003C034C"/>
    <w:rsid w:val="003C0868"/>
    <w:rsid w:val="003C102B"/>
    <w:rsid w:val="003C1AC0"/>
    <w:rsid w:val="003C1E38"/>
    <w:rsid w:val="003C2128"/>
    <w:rsid w:val="003C232C"/>
    <w:rsid w:val="003C2839"/>
    <w:rsid w:val="003C2ADC"/>
    <w:rsid w:val="003C3294"/>
    <w:rsid w:val="003C3C7D"/>
    <w:rsid w:val="003C4856"/>
    <w:rsid w:val="003C49CD"/>
    <w:rsid w:val="003C5B07"/>
    <w:rsid w:val="003C5CF5"/>
    <w:rsid w:val="003C62B9"/>
    <w:rsid w:val="003C6300"/>
    <w:rsid w:val="003C6530"/>
    <w:rsid w:val="003C6C86"/>
    <w:rsid w:val="003C70B2"/>
    <w:rsid w:val="003C7323"/>
    <w:rsid w:val="003C753E"/>
    <w:rsid w:val="003C7A5B"/>
    <w:rsid w:val="003C7D21"/>
    <w:rsid w:val="003D05C5"/>
    <w:rsid w:val="003D0BA8"/>
    <w:rsid w:val="003D1610"/>
    <w:rsid w:val="003D1A73"/>
    <w:rsid w:val="003D1AD8"/>
    <w:rsid w:val="003D2AB0"/>
    <w:rsid w:val="003D2BC0"/>
    <w:rsid w:val="003D2C30"/>
    <w:rsid w:val="003D36EC"/>
    <w:rsid w:val="003D3A17"/>
    <w:rsid w:val="003D425F"/>
    <w:rsid w:val="003D4278"/>
    <w:rsid w:val="003D43A1"/>
    <w:rsid w:val="003D4457"/>
    <w:rsid w:val="003D48C9"/>
    <w:rsid w:val="003D5629"/>
    <w:rsid w:val="003D5886"/>
    <w:rsid w:val="003D5B3E"/>
    <w:rsid w:val="003D5C3B"/>
    <w:rsid w:val="003D6176"/>
    <w:rsid w:val="003D6517"/>
    <w:rsid w:val="003D6B25"/>
    <w:rsid w:val="003D6D98"/>
    <w:rsid w:val="003D7220"/>
    <w:rsid w:val="003D742D"/>
    <w:rsid w:val="003D775B"/>
    <w:rsid w:val="003D7A5B"/>
    <w:rsid w:val="003E0700"/>
    <w:rsid w:val="003E0752"/>
    <w:rsid w:val="003E0E12"/>
    <w:rsid w:val="003E128B"/>
    <w:rsid w:val="003E14A7"/>
    <w:rsid w:val="003E14A9"/>
    <w:rsid w:val="003E23B5"/>
    <w:rsid w:val="003E2769"/>
    <w:rsid w:val="003E3313"/>
    <w:rsid w:val="003E3493"/>
    <w:rsid w:val="003E3C00"/>
    <w:rsid w:val="003E40E6"/>
    <w:rsid w:val="003E468B"/>
    <w:rsid w:val="003E66AA"/>
    <w:rsid w:val="003E6F63"/>
    <w:rsid w:val="003E6FDC"/>
    <w:rsid w:val="003E71A3"/>
    <w:rsid w:val="003F08FC"/>
    <w:rsid w:val="003F2CF0"/>
    <w:rsid w:val="003F3148"/>
    <w:rsid w:val="003F503D"/>
    <w:rsid w:val="003F50A5"/>
    <w:rsid w:val="003F5280"/>
    <w:rsid w:val="003F5345"/>
    <w:rsid w:val="003F575F"/>
    <w:rsid w:val="003F5B36"/>
    <w:rsid w:val="003F5E6A"/>
    <w:rsid w:val="003F668A"/>
    <w:rsid w:val="003F72F7"/>
    <w:rsid w:val="004012D3"/>
    <w:rsid w:val="004012FB"/>
    <w:rsid w:val="00402089"/>
    <w:rsid w:val="00402272"/>
    <w:rsid w:val="0040244A"/>
    <w:rsid w:val="00402AA0"/>
    <w:rsid w:val="0040344A"/>
    <w:rsid w:val="00403500"/>
    <w:rsid w:val="00403CE5"/>
    <w:rsid w:val="00404343"/>
    <w:rsid w:val="00404AD6"/>
    <w:rsid w:val="00404CD8"/>
    <w:rsid w:val="00404EF5"/>
    <w:rsid w:val="0040509C"/>
    <w:rsid w:val="004054B7"/>
    <w:rsid w:val="004058C9"/>
    <w:rsid w:val="00406A97"/>
    <w:rsid w:val="00406CD1"/>
    <w:rsid w:val="00407738"/>
    <w:rsid w:val="00407ABD"/>
    <w:rsid w:val="00410066"/>
    <w:rsid w:val="0041020D"/>
    <w:rsid w:val="004105C5"/>
    <w:rsid w:val="0041072D"/>
    <w:rsid w:val="00410B37"/>
    <w:rsid w:val="00410C1A"/>
    <w:rsid w:val="00411716"/>
    <w:rsid w:val="00411845"/>
    <w:rsid w:val="00411A53"/>
    <w:rsid w:val="00411B15"/>
    <w:rsid w:val="004129D2"/>
    <w:rsid w:val="0041323F"/>
    <w:rsid w:val="00413A56"/>
    <w:rsid w:val="004148C0"/>
    <w:rsid w:val="00414EBF"/>
    <w:rsid w:val="004155D6"/>
    <w:rsid w:val="004158DF"/>
    <w:rsid w:val="00416885"/>
    <w:rsid w:val="00417401"/>
    <w:rsid w:val="004174E8"/>
    <w:rsid w:val="004176CD"/>
    <w:rsid w:val="00417F77"/>
    <w:rsid w:val="004205B3"/>
    <w:rsid w:val="00420F1E"/>
    <w:rsid w:val="004211D3"/>
    <w:rsid w:val="00421C18"/>
    <w:rsid w:val="00421E35"/>
    <w:rsid w:val="0042295A"/>
    <w:rsid w:val="004235F7"/>
    <w:rsid w:val="004239C1"/>
    <w:rsid w:val="00423B45"/>
    <w:rsid w:val="00423C28"/>
    <w:rsid w:val="00423CDF"/>
    <w:rsid w:val="00423FDF"/>
    <w:rsid w:val="0042491A"/>
    <w:rsid w:val="00424AF4"/>
    <w:rsid w:val="00425EEB"/>
    <w:rsid w:val="004263A2"/>
    <w:rsid w:val="0042715D"/>
    <w:rsid w:val="004274A9"/>
    <w:rsid w:val="00427744"/>
    <w:rsid w:val="004301E5"/>
    <w:rsid w:val="00431152"/>
    <w:rsid w:val="00431719"/>
    <w:rsid w:val="0043173D"/>
    <w:rsid w:val="00432F3F"/>
    <w:rsid w:val="004330E4"/>
    <w:rsid w:val="00433602"/>
    <w:rsid w:val="0043377D"/>
    <w:rsid w:val="0043378F"/>
    <w:rsid w:val="00434300"/>
    <w:rsid w:val="0043448A"/>
    <w:rsid w:val="004348D1"/>
    <w:rsid w:val="004348F1"/>
    <w:rsid w:val="00434F9C"/>
    <w:rsid w:val="00435824"/>
    <w:rsid w:val="00435D87"/>
    <w:rsid w:val="00435F61"/>
    <w:rsid w:val="004361E3"/>
    <w:rsid w:val="004362A2"/>
    <w:rsid w:val="004367F5"/>
    <w:rsid w:val="00437625"/>
    <w:rsid w:val="00437971"/>
    <w:rsid w:val="00437AF1"/>
    <w:rsid w:val="00437CBC"/>
    <w:rsid w:val="00437D56"/>
    <w:rsid w:val="00437FD9"/>
    <w:rsid w:val="0044021C"/>
    <w:rsid w:val="00440604"/>
    <w:rsid w:val="0044068F"/>
    <w:rsid w:val="00441EF8"/>
    <w:rsid w:val="00441F51"/>
    <w:rsid w:val="004423B1"/>
    <w:rsid w:val="00442746"/>
    <w:rsid w:val="004429B3"/>
    <w:rsid w:val="004430EF"/>
    <w:rsid w:val="004437C6"/>
    <w:rsid w:val="00443EFB"/>
    <w:rsid w:val="004446BC"/>
    <w:rsid w:val="0044485C"/>
    <w:rsid w:val="00445160"/>
    <w:rsid w:val="00445356"/>
    <w:rsid w:val="004455FC"/>
    <w:rsid w:val="0044590B"/>
    <w:rsid w:val="00445A89"/>
    <w:rsid w:val="0044605D"/>
    <w:rsid w:val="00447054"/>
    <w:rsid w:val="0044758D"/>
    <w:rsid w:val="00447863"/>
    <w:rsid w:val="004501DE"/>
    <w:rsid w:val="0045043E"/>
    <w:rsid w:val="00450704"/>
    <w:rsid w:val="00450C8F"/>
    <w:rsid w:val="004511B6"/>
    <w:rsid w:val="004514B6"/>
    <w:rsid w:val="00451598"/>
    <w:rsid w:val="004519F3"/>
    <w:rsid w:val="00452839"/>
    <w:rsid w:val="00452DE5"/>
    <w:rsid w:val="00453775"/>
    <w:rsid w:val="004547C4"/>
    <w:rsid w:val="00454D93"/>
    <w:rsid w:val="00455ACC"/>
    <w:rsid w:val="0045644B"/>
    <w:rsid w:val="004568E2"/>
    <w:rsid w:val="00456AC8"/>
    <w:rsid w:val="00456B99"/>
    <w:rsid w:val="00456EA3"/>
    <w:rsid w:val="00456FEA"/>
    <w:rsid w:val="00457C53"/>
    <w:rsid w:val="00460529"/>
    <w:rsid w:val="0046070F"/>
    <w:rsid w:val="004609B2"/>
    <w:rsid w:val="004611CC"/>
    <w:rsid w:val="00461260"/>
    <w:rsid w:val="00461C9A"/>
    <w:rsid w:val="0046239F"/>
    <w:rsid w:val="00462818"/>
    <w:rsid w:val="00463696"/>
    <w:rsid w:val="0046385D"/>
    <w:rsid w:val="00464375"/>
    <w:rsid w:val="0046446A"/>
    <w:rsid w:val="004646B2"/>
    <w:rsid w:val="00464922"/>
    <w:rsid w:val="00464DF6"/>
    <w:rsid w:val="004658D8"/>
    <w:rsid w:val="00465A45"/>
    <w:rsid w:val="00465AF6"/>
    <w:rsid w:val="00465C3E"/>
    <w:rsid w:val="004664AC"/>
    <w:rsid w:val="00466DEF"/>
    <w:rsid w:val="0046749F"/>
    <w:rsid w:val="00467BF8"/>
    <w:rsid w:val="0047048D"/>
    <w:rsid w:val="004709F4"/>
    <w:rsid w:val="00470B02"/>
    <w:rsid w:val="00470B62"/>
    <w:rsid w:val="00470FD2"/>
    <w:rsid w:val="00470FFF"/>
    <w:rsid w:val="0047179D"/>
    <w:rsid w:val="00471A7A"/>
    <w:rsid w:val="00473FF8"/>
    <w:rsid w:val="00474321"/>
    <w:rsid w:val="0047489E"/>
    <w:rsid w:val="00475076"/>
    <w:rsid w:val="00475A80"/>
    <w:rsid w:val="00476A61"/>
    <w:rsid w:val="00476DA3"/>
    <w:rsid w:val="00477089"/>
    <w:rsid w:val="00477224"/>
    <w:rsid w:val="00477601"/>
    <w:rsid w:val="00480240"/>
    <w:rsid w:val="004805A2"/>
    <w:rsid w:val="004810E9"/>
    <w:rsid w:val="00481D5E"/>
    <w:rsid w:val="00482485"/>
    <w:rsid w:val="00482565"/>
    <w:rsid w:val="0048300E"/>
    <w:rsid w:val="004834B6"/>
    <w:rsid w:val="0048371B"/>
    <w:rsid w:val="00483C7D"/>
    <w:rsid w:val="00483F44"/>
    <w:rsid w:val="004846C8"/>
    <w:rsid w:val="0048480A"/>
    <w:rsid w:val="004848CC"/>
    <w:rsid w:val="00485C89"/>
    <w:rsid w:val="00485F1E"/>
    <w:rsid w:val="004901D8"/>
    <w:rsid w:val="004902D5"/>
    <w:rsid w:val="004903DA"/>
    <w:rsid w:val="0049046C"/>
    <w:rsid w:val="004907B3"/>
    <w:rsid w:val="0049104E"/>
    <w:rsid w:val="00491439"/>
    <w:rsid w:val="004918DA"/>
    <w:rsid w:val="004919A1"/>
    <w:rsid w:val="00491B70"/>
    <w:rsid w:val="00492619"/>
    <w:rsid w:val="00492AB4"/>
    <w:rsid w:val="00493C9D"/>
    <w:rsid w:val="004945D4"/>
    <w:rsid w:val="0049467D"/>
    <w:rsid w:val="00494B73"/>
    <w:rsid w:val="0049505D"/>
    <w:rsid w:val="004956B1"/>
    <w:rsid w:val="004966DA"/>
    <w:rsid w:val="0049670C"/>
    <w:rsid w:val="0049705E"/>
    <w:rsid w:val="0049725A"/>
    <w:rsid w:val="00497AFC"/>
    <w:rsid w:val="004A01CB"/>
    <w:rsid w:val="004A06CA"/>
    <w:rsid w:val="004A099F"/>
    <w:rsid w:val="004A0AD3"/>
    <w:rsid w:val="004A0D9B"/>
    <w:rsid w:val="004A12CF"/>
    <w:rsid w:val="004A1308"/>
    <w:rsid w:val="004A17B0"/>
    <w:rsid w:val="004A2013"/>
    <w:rsid w:val="004A2079"/>
    <w:rsid w:val="004A2E4B"/>
    <w:rsid w:val="004A2F63"/>
    <w:rsid w:val="004A2FA1"/>
    <w:rsid w:val="004A347C"/>
    <w:rsid w:val="004A3C10"/>
    <w:rsid w:val="004A3CAD"/>
    <w:rsid w:val="004A4664"/>
    <w:rsid w:val="004A4723"/>
    <w:rsid w:val="004A4865"/>
    <w:rsid w:val="004A4884"/>
    <w:rsid w:val="004A4F85"/>
    <w:rsid w:val="004A5153"/>
    <w:rsid w:val="004A5A7E"/>
    <w:rsid w:val="004A5DB5"/>
    <w:rsid w:val="004A5F5A"/>
    <w:rsid w:val="004A6565"/>
    <w:rsid w:val="004A6992"/>
    <w:rsid w:val="004A6CDC"/>
    <w:rsid w:val="004A7B24"/>
    <w:rsid w:val="004A7B8B"/>
    <w:rsid w:val="004A7C0B"/>
    <w:rsid w:val="004A7EFD"/>
    <w:rsid w:val="004A7F8D"/>
    <w:rsid w:val="004B0839"/>
    <w:rsid w:val="004B14DE"/>
    <w:rsid w:val="004B24D5"/>
    <w:rsid w:val="004B284E"/>
    <w:rsid w:val="004B2BEC"/>
    <w:rsid w:val="004B304B"/>
    <w:rsid w:val="004B3180"/>
    <w:rsid w:val="004B3A05"/>
    <w:rsid w:val="004B3CD9"/>
    <w:rsid w:val="004B45BC"/>
    <w:rsid w:val="004B4652"/>
    <w:rsid w:val="004B49BF"/>
    <w:rsid w:val="004B4B19"/>
    <w:rsid w:val="004B5258"/>
    <w:rsid w:val="004B58AE"/>
    <w:rsid w:val="004B5ACA"/>
    <w:rsid w:val="004B5D2F"/>
    <w:rsid w:val="004B6F18"/>
    <w:rsid w:val="004C0757"/>
    <w:rsid w:val="004C076A"/>
    <w:rsid w:val="004C0A5D"/>
    <w:rsid w:val="004C0FBB"/>
    <w:rsid w:val="004C11B4"/>
    <w:rsid w:val="004C1EDA"/>
    <w:rsid w:val="004C3241"/>
    <w:rsid w:val="004C38ED"/>
    <w:rsid w:val="004C39AF"/>
    <w:rsid w:val="004C41C9"/>
    <w:rsid w:val="004C464C"/>
    <w:rsid w:val="004C46B3"/>
    <w:rsid w:val="004C4B53"/>
    <w:rsid w:val="004C5479"/>
    <w:rsid w:val="004C58B0"/>
    <w:rsid w:val="004C6500"/>
    <w:rsid w:val="004C7130"/>
    <w:rsid w:val="004C7336"/>
    <w:rsid w:val="004C7705"/>
    <w:rsid w:val="004C7821"/>
    <w:rsid w:val="004D0327"/>
    <w:rsid w:val="004D05A7"/>
    <w:rsid w:val="004D0BA3"/>
    <w:rsid w:val="004D2A20"/>
    <w:rsid w:val="004D2EA8"/>
    <w:rsid w:val="004D31F7"/>
    <w:rsid w:val="004D332E"/>
    <w:rsid w:val="004D368C"/>
    <w:rsid w:val="004D39D0"/>
    <w:rsid w:val="004D4053"/>
    <w:rsid w:val="004D40A0"/>
    <w:rsid w:val="004D4316"/>
    <w:rsid w:val="004D49BD"/>
    <w:rsid w:val="004D4BD1"/>
    <w:rsid w:val="004D4E6B"/>
    <w:rsid w:val="004D56D9"/>
    <w:rsid w:val="004D5F84"/>
    <w:rsid w:val="004D61A9"/>
    <w:rsid w:val="004D6506"/>
    <w:rsid w:val="004D6780"/>
    <w:rsid w:val="004D6918"/>
    <w:rsid w:val="004D6C3B"/>
    <w:rsid w:val="004D6C5D"/>
    <w:rsid w:val="004D75D3"/>
    <w:rsid w:val="004D7623"/>
    <w:rsid w:val="004D7F92"/>
    <w:rsid w:val="004E0B07"/>
    <w:rsid w:val="004E0F92"/>
    <w:rsid w:val="004E1172"/>
    <w:rsid w:val="004E1A00"/>
    <w:rsid w:val="004E2C17"/>
    <w:rsid w:val="004E398B"/>
    <w:rsid w:val="004E4146"/>
    <w:rsid w:val="004E5D38"/>
    <w:rsid w:val="004E606D"/>
    <w:rsid w:val="004E612C"/>
    <w:rsid w:val="004E6152"/>
    <w:rsid w:val="004E6CEB"/>
    <w:rsid w:val="004E6D5E"/>
    <w:rsid w:val="004E750D"/>
    <w:rsid w:val="004E76A8"/>
    <w:rsid w:val="004F0A8E"/>
    <w:rsid w:val="004F1266"/>
    <w:rsid w:val="004F13F0"/>
    <w:rsid w:val="004F17E8"/>
    <w:rsid w:val="004F1A37"/>
    <w:rsid w:val="004F1E71"/>
    <w:rsid w:val="004F1E7D"/>
    <w:rsid w:val="004F2972"/>
    <w:rsid w:val="004F2A35"/>
    <w:rsid w:val="004F2C87"/>
    <w:rsid w:val="004F3610"/>
    <w:rsid w:val="004F446E"/>
    <w:rsid w:val="004F4749"/>
    <w:rsid w:val="004F4F83"/>
    <w:rsid w:val="004F5038"/>
    <w:rsid w:val="004F52F2"/>
    <w:rsid w:val="004F534C"/>
    <w:rsid w:val="004F59BE"/>
    <w:rsid w:val="004F6A67"/>
    <w:rsid w:val="004F6D4F"/>
    <w:rsid w:val="004F7387"/>
    <w:rsid w:val="004F75B7"/>
    <w:rsid w:val="004F7A66"/>
    <w:rsid w:val="00500262"/>
    <w:rsid w:val="00500F2D"/>
    <w:rsid w:val="00501463"/>
    <w:rsid w:val="00501A63"/>
    <w:rsid w:val="00501F9D"/>
    <w:rsid w:val="0050362C"/>
    <w:rsid w:val="005041A8"/>
    <w:rsid w:val="005056FB"/>
    <w:rsid w:val="00505901"/>
    <w:rsid w:val="00506198"/>
    <w:rsid w:val="005061C6"/>
    <w:rsid w:val="005065A2"/>
    <w:rsid w:val="00506A66"/>
    <w:rsid w:val="00507187"/>
    <w:rsid w:val="005077DA"/>
    <w:rsid w:val="00507B27"/>
    <w:rsid w:val="00507BB2"/>
    <w:rsid w:val="005103EA"/>
    <w:rsid w:val="00510467"/>
    <w:rsid w:val="005108A9"/>
    <w:rsid w:val="00510D7F"/>
    <w:rsid w:val="00512BA0"/>
    <w:rsid w:val="005135C1"/>
    <w:rsid w:val="00513778"/>
    <w:rsid w:val="0051393E"/>
    <w:rsid w:val="0051442B"/>
    <w:rsid w:val="00514467"/>
    <w:rsid w:val="00514BE0"/>
    <w:rsid w:val="00514BFB"/>
    <w:rsid w:val="0051555F"/>
    <w:rsid w:val="005158C0"/>
    <w:rsid w:val="00515DC2"/>
    <w:rsid w:val="005167FC"/>
    <w:rsid w:val="00516DAD"/>
    <w:rsid w:val="00517203"/>
    <w:rsid w:val="0051793D"/>
    <w:rsid w:val="00517B54"/>
    <w:rsid w:val="00517DDA"/>
    <w:rsid w:val="0052011D"/>
    <w:rsid w:val="005204F4"/>
    <w:rsid w:val="00520592"/>
    <w:rsid w:val="0052138B"/>
    <w:rsid w:val="00521B83"/>
    <w:rsid w:val="00522101"/>
    <w:rsid w:val="00522250"/>
    <w:rsid w:val="00522634"/>
    <w:rsid w:val="00522DB7"/>
    <w:rsid w:val="005231FB"/>
    <w:rsid w:val="00523EC1"/>
    <w:rsid w:val="00524556"/>
    <w:rsid w:val="00524FAC"/>
    <w:rsid w:val="005253A8"/>
    <w:rsid w:val="0052569D"/>
    <w:rsid w:val="00525857"/>
    <w:rsid w:val="00525D7D"/>
    <w:rsid w:val="00526447"/>
    <w:rsid w:val="00526808"/>
    <w:rsid w:val="00527571"/>
    <w:rsid w:val="00527D6C"/>
    <w:rsid w:val="00527E40"/>
    <w:rsid w:val="0053001D"/>
    <w:rsid w:val="0053041D"/>
    <w:rsid w:val="0053048F"/>
    <w:rsid w:val="0053056F"/>
    <w:rsid w:val="00531034"/>
    <w:rsid w:val="005311A5"/>
    <w:rsid w:val="005320BA"/>
    <w:rsid w:val="005320DC"/>
    <w:rsid w:val="00533449"/>
    <w:rsid w:val="00533D71"/>
    <w:rsid w:val="00534556"/>
    <w:rsid w:val="00534BC0"/>
    <w:rsid w:val="00534FF4"/>
    <w:rsid w:val="0053520B"/>
    <w:rsid w:val="00535412"/>
    <w:rsid w:val="005357A1"/>
    <w:rsid w:val="005359FF"/>
    <w:rsid w:val="00535AB4"/>
    <w:rsid w:val="005369E7"/>
    <w:rsid w:val="00536C7B"/>
    <w:rsid w:val="005370F0"/>
    <w:rsid w:val="00537296"/>
    <w:rsid w:val="00537699"/>
    <w:rsid w:val="00537B53"/>
    <w:rsid w:val="00537C45"/>
    <w:rsid w:val="00537E5A"/>
    <w:rsid w:val="00540B25"/>
    <w:rsid w:val="00541E49"/>
    <w:rsid w:val="00541EC3"/>
    <w:rsid w:val="005420BF"/>
    <w:rsid w:val="00542B40"/>
    <w:rsid w:val="0054373B"/>
    <w:rsid w:val="00543891"/>
    <w:rsid w:val="00543C0D"/>
    <w:rsid w:val="00543DE8"/>
    <w:rsid w:val="00543EE1"/>
    <w:rsid w:val="005442E5"/>
    <w:rsid w:val="005459CF"/>
    <w:rsid w:val="00545D4F"/>
    <w:rsid w:val="00546A81"/>
    <w:rsid w:val="00546FF4"/>
    <w:rsid w:val="005470F3"/>
    <w:rsid w:val="00547688"/>
    <w:rsid w:val="00547DD3"/>
    <w:rsid w:val="00550B88"/>
    <w:rsid w:val="0055164D"/>
    <w:rsid w:val="00551C8A"/>
    <w:rsid w:val="00553BD3"/>
    <w:rsid w:val="00553C1E"/>
    <w:rsid w:val="0055423E"/>
    <w:rsid w:val="005543A3"/>
    <w:rsid w:val="00554A7D"/>
    <w:rsid w:val="00554B39"/>
    <w:rsid w:val="00554CA0"/>
    <w:rsid w:val="00554E21"/>
    <w:rsid w:val="00555695"/>
    <w:rsid w:val="005557E9"/>
    <w:rsid w:val="00555EEE"/>
    <w:rsid w:val="00556137"/>
    <w:rsid w:val="00556D34"/>
    <w:rsid w:val="0055774E"/>
    <w:rsid w:val="0056092F"/>
    <w:rsid w:val="00561657"/>
    <w:rsid w:val="0056197E"/>
    <w:rsid w:val="00562230"/>
    <w:rsid w:val="00562C63"/>
    <w:rsid w:val="00562EB3"/>
    <w:rsid w:val="00562F92"/>
    <w:rsid w:val="00563304"/>
    <w:rsid w:val="00563709"/>
    <w:rsid w:val="00566A8D"/>
    <w:rsid w:val="00566AEB"/>
    <w:rsid w:val="00566F1C"/>
    <w:rsid w:val="005679AE"/>
    <w:rsid w:val="00567A01"/>
    <w:rsid w:val="00567E8D"/>
    <w:rsid w:val="00570DCE"/>
    <w:rsid w:val="00571469"/>
    <w:rsid w:val="005720EE"/>
    <w:rsid w:val="005727DC"/>
    <w:rsid w:val="00572C6C"/>
    <w:rsid w:val="00574613"/>
    <w:rsid w:val="005748D7"/>
    <w:rsid w:val="00576269"/>
    <w:rsid w:val="00576A68"/>
    <w:rsid w:val="00576ACF"/>
    <w:rsid w:val="00576F4B"/>
    <w:rsid w:val="00577322"/>
    <w:rsid w:val="00580057"/>
    <w:rsid w:val="005802B4"/>
    <w:rsid w:val="0058033F"/>
    <w:rsid w:val="005804C1"/>
    <w:rsid w:val="005811DB"/>
    <w:rsid w:val="00581ADF"/>
    <w:rsid w:val="005828EE"/>
    <w:rsid w:val="00582AC2"/>
    <w:rsid w:val="005847BF"/>
    <w:rsid w:val="00584997"/>
    <w:rsid w:val="00584E98"/>
    <w:rsid w:val="0058573D"/>
    <w:rsid w:val="0058595B"/>
    <w:rsid w:val="00585C0A"/>
    <w:rsid w:val="00585C30"/>
    <w:rsid w:val="00587811"/>
    <w:rsid w:val="005907C8"/>
    <w:rsid w:val="00590F13"/>
    <w:rsid w:val="005918F5"/>
    <w:rsid w:val="00592639"/>
    <w:rsid w:val="005929C1"/>
    <w:rsid w:val="005936BE"/>
    <w:rsid w:val="005937F1"/>
    <w:rsid w:val="00593C94"/>
    <w:rsid w:val="00594553"/>
    <w:rsid w:val="005946E6"/>
    <w:rsid w:val="00594792"/>
    <w:rsid w:val="00594974"/>
    <w:rsid w:val="00594CFA"/>
    <w:rsid w:val="00595135"/>
    <w:rsid w:val="0059536E"/>
    <w:rsid w:val="00595C41"/>
    <w:rsid w:val="00595D2F"/>
    <w:rsid w:val="0059701F"/>
    <w:rsid w:val="0059734A"/>
    <w:rsid w:val="00597362"/>
    <w:rsid w:val="005975B5"/>
    <w:rsid w:val="00597AB2"/>
    <w:rsid w:val="00597C6E"/>
    <w:rsid w:val="00597CB9"/>
    <w:rsid w:val="005A0539"/>
    <w:rsid w:val="005A0B8A"/>
    <w:rsid w:val="005A0CA5"/>
    <w:rsid w:val="005A0D2F"/>
    <w:rsid w:val="005A0E31"/>
    <w:rsid w:val="005A0F7C"/>
    <w:rsid w:val="005A1012"/>
    <w:rsid w:val="005A16C4"/>
    <w:rsid w:val="005A184C"/>
    <w:rsid w:val="005A18AE"/>
    <w:rsid w:val="005A1AAC"/>
    <w:rsid w:val="005A1C24"/>
    <w:rsid w:val="005A27CE"/>
    <w:rsid w:val="005A2BF6"/>
    <w:rsid w:val="005A2EC1"/>
    <w:rsid w:val="005A3E2E"/>
    <w:rsid w:val="005A410F"/>
    <w:rsid w:val="005A4829"/>
    <w:rsid w:val="005A488F"/>
    <w:rsid w:val="005A4BDE"/>
    <w:rsid w:val="005A5762"/>
    <w:rsid w:val="005A5EE9"/>
    <w:rsid w:val="005A6073"/>
    <w:rsid w:val="005A652E"/>
    <w:rsid w:val="005A7592"/>
    <w:rsid w:val="005A76C1"/>
    <w:rsid w:val="005A7D06"/>
    <w:rsid w:val="005A7F9E"/>
    <w:rsid w:val="005B008D"/>
    <w:rsid w:val="005B053C"/>
    <w:rsid w:val="005B08F1"/>
    <w:rsid w:val="005B0D80"/>
    <w:rsid w:val="005B1030"/>
    <w:rsid w:val="005B18B0"/>
    <w:rsid w:val="005B19B2"/>
    <w:rsid w:val="005B1D36"/>
    <w:rsid w:val="005B1E19"/>
    <w:rsid w:val="005B290C"/>
    <w:rsid w:val="005B2B52"/>
    <w:rsid w:val="005B2D9F"/>
    <w:rsid w:val="005B3259"/>
    <w:rsid w:val="005B376D"/>
    <w:rsid w:val="005B37D9"/>
    <w:rsid w:val="005B3841"/>
    <w:rsid w:val="005B3F70"/>
    <w:rsid w:val="005B4E3A"/>
    <w:rsid w:val="005B50D5"/>
    <w:rsid w:val="005B559A"/>
    <w:rsid w:val="005B55F9"/>
    <w:rsid w:val="005B655C"/>
    <w:rsid w:val="005B73DD"/>
    <w:rsid w:val="005B79D7"/>
    <w:rsid w:val="005B79E6"/>
    <w:rsid w:val="005C0C0E"/>
    <w:rsid w:val="005C1102"/>
    <w:rsid w:val="005C28B2"/>
    <w:rsid w:val="005C2F85"/>
    <w:rsid w:val="005C35FA"/>
    <w:rsid w:val="005C4638"/>
    <w:rsid w:val="005C4ABE"/>
    <w:rsid w:val="005C4D87"/>
    <w:rsid w:val="005C5082"/>
    <w:rsid w:val="005C5223"/>
    <w:rsid w:val="005C55BE"/>
    <w:rsid w:val="005C5AE1"/>
    <w:rsid w:val="005C5C81"/>
    <w:rsid w:val="005C5FE7"/>
    <w:rsid w:val="005C6133"/>
    <w:rsid w:val="005C62B8"/>
    <w:rsid w:val="005C65EC"/>
    <w:rsid w:val="005C693E"/>
    <w:rsid w:val="005C7176"/>
    <w:rsid w:val="005C78F7"/>
    <w:rsid w:val="005C79F9"/>
    <w:rsid w:val="005D0340"/>
    <w:rsid w:val="005D0EBE"/>
    <w:rsid w:val="005D0F01"/>
    <w:rsid w:val="005D21CB"/>
    <w:rsid w:val="005D2375"/>
    <w:rsid w:val="005D2A8A"/>
    <w:rsid w:val="005D308D"/>
    <w:rsid w:val="005D30C7"/>
    <w:rsid w:val="005D34EE"/>
    <w:rsid w:val="005D3861"/>
    <w:rsid w:val="005D38AB"/>
    <w:rsid w:val="005D3EC3"/>
    <w:rsid w:val="005D414A"/>
    <w:rsid w:val="005D4E38"/>
    <w:rsid w:val="005D4FAB"/>
    <w:rsid w:val="005D584F"/>
    <w:rsid w:val="005D629B"/>
    <w:rsid w:val="005D64D9"/>
    <w:rsid w:val="005D77E0"/>
    <w:rsid w:val="005E0DAC"/>
    <w:rsid w:val="005E14AE"/>
    <w:rsid w:val="005E2418"/>
    <w:rsid w:val="005E25CA"/>
    <w:rsid w:val="005E2879"/>
    <w:rsid w:val="005E2B9A"/>
    <w:rsid w:val="005E2D0A"/>
    <w:rsid w:val="005E335D"/>
    <w:rsid w:val="005E340E"/>
    <w:rsid w:val="005E3689"/>
    <w:rsid w:val="005E392B"/>
    <w:rsid w:val="005E3B8C"/>
    <w:rsid w:val="005E4842"/>
    <w:rsid w:val="005E49FA"/>
    <w:rsid w:val="005E54C5"/>
    <w:rsid w:val="005E5639"/>
    <w:rsid w:val="005E5848"/>
    <w:rsid w:val="005E65AE"/>
    <w:rsid w:val="005E6D5B"/>
    <w:rsid w:val="005E790B"/>
    <w:rsid w:val="005E79FD"/>
    <w:rsid w:val="005E7A97"/>
    <w:rsid w:val="005E7CF8"/>
    <w:rsid w:val="005E7E52"/>
    <w:rsid w:val="005F0101"/>
    <w:rsid w:val="005F0226"/>
    <w:rsid w:val="005F0767"/>
    <w:rsid w:val="005F0DED"/>
    <w:rsid w:val="005F1532"/>
    <w:rsid w:val="005F1858"/>
    <w:rsid w:val="005F1AA5"/>
    <w:rsid w:val="005F24AD"/>
    <w:rsid w:val="005F2589"/>
    <w:rsid w:val="005F2898"/>
    <w:rsid w:val="005F490F"/>
    <w:rsid w:val="005F4B61"/>
    <w:rsid w:val="005F5718"/>
    <w:rsid w:val="005F5731"/>
    <w:rsid w:val="005F581A"/>
    <w:rsid w:val="005F5A89"/>
    <w:rsid w:val="005F5C60"/>
    <w:rsid w:val="005F62E3"/>
    <w:rsid w:val="005F6420"/>
    <w:rsid w:val="005F6994"/>
    <w:rsid w:val="005F715C"/>
    <w:rsid w:val="005F78FD"/>
    <w:rsid w:val="005F79D7"/>
    <w:rsid w:val="005F7D47"/>
    <w:rsid w:val="00600734"/>
    <w:rsid w:val="00600BC0"/>
    <w:rsid w:val="00601FAA"/>
    <w:rsid w:val="0060263D"/>
    <w:rsid w:val="00603465"/>
    <w:rsid w:val="006036F4"/>
    <w:rsid w:val="00604AEB"/>
    <w:rsid w:val="00604D65"/>
    <w:rsid w:val="006051E6"/>
    <w:rsid w:val="0060544A"/>
    <w:rsid w:val="006066FC"/>
    <w:rsid w:val="00607A07"/>
    <w:rsid w:val="0061098D"/>
    <w:rsid w:val="0061147A"/>
    <w:rsid w:val="00612C9D"/>
    <w:rsid w:val="00612D53"/>
    <w:rsid w:val="006137CE"/>
    <w:rsid w:val="0061380E"/>
    <w:rsid w:val="0061388C"/>
    <w:rsid w:val="0061409B"/>
    <w:rsid w:val="00614262"/>
    <w:rsid w:val="006142AE"/>
    <w:rsid w:val="006150EE"/>
    <w:rsid w:val="00616040"/>
    <w:rsid w:val="00616235"/>
    <w:rsid w:val="00617A1A"/>
    <w:rsid w:val="00617F99"/>
    <w:rsid w:val="006202D4"/>
    <w:rsid w:val="00621228"/>
    <w:rsid w:val="00621A87"/>
    <w:rsid w:val="00622802"/>
    <w:rsid w:val="00623826"/>
    <w:rsid w:val="00623C23"/>
    <w:rsid w:val="006246E7"/>
    <w:rsid w:val="006259C0"/>
    <w:rsid w:val="00625A6E"/>
    <w:rsid w:val="0062676B"/>
    <w:rsid w:val="00626B39"/>
    <w:rsid w:val="00626C10"/>
    <w:rsid w:val="00626D41"/>
    <w:rsid w:val="0062735E"/>
    <w:rsid w:val="00627834"/>
    <w:rsid w:val="006308C8"/>
    <w:rsid w:val="00630EED"/>
    <w:rsid w:val="0063116E"/>
    <w:rsid w:val="00631917"/>
    <w:rsid w:val="006324EE"/>
    <w:rsid w:val="006326BA"/>
    <w:rsid w:val="00632E70"/>
    <w:rsid w:val="0063394F"/>
    <w:rsid w:val="00633AC8"/>
    <w:rsid w:val="00633BFA"/>
    <w:rsid w:val="00633DF6"/>
    <w:rsid w:val="00633EEE"/>
    <w:rsid w:val="006344C6"/>
    <w:rsid w:val="0063469D"/>
    <w:rsid w:val="006347D1"/>
    <w:rsid w:val="00634F90"/>
    <w:rsid w:val="0063529B"/>
    <w:rsid w:val="00635419"/>
    <w:rsid w:val="00637110"/>
    <w:rsid w:val="006376FB"/>
    <w:rsid w:val="00637744"/>
    <w:rsid w:val="00640AF0"/>
    <w:rsid w:val="00640B72"/>
    <w:rsid w:val="00640D3B"/>
    <w:rsid w:val="00640F39"/>
    <w:rsid w:val="0064130F"/>
    <w:rsid w:val="00641310"/>
    <w:rsid w:val="00641D47"/>
    <w:rsid w:val="00641DCE"/>
    <w:rsid w:val="0064277D"/>
    <w:rsid w:val="006437B5"/>
    <w:rsid w:val="00644DF0"/>
    <w:rsid w:val="006455A5"/>
    <w:rsid w:val="00645824"/>
    <w:rsid w:val="00647D99"/>
    <w:rsid w:val="00647F0D"/>
    <w:rsid w:val="00650063"/>
    <w:rsid w:val="006502AD"/>
    <w:rsid w:val="006504FD"/>
    <w:rsid w:val="00650511"/>
    <w:rsid w:val="00650D85"/>
    <w:rsid w:val="0065106D"/>
    <w:rsid w:val="00651E3A"/>
    <w:rsid w:val="00652771"/>
    <w:rsid w:val="00652E22"/>
    <w:rsid w:val="006530BB"/>
    <w:rsid w:val="00653D07"/>
    <w:rsid w:val="00654502"/>
    <w:rsid w:val="00655A01"/>
    <w:rsid w:val="00655F9C"/>
    <w:rsid w:val="00656C54"/>
    <w:rsid w:val="006572C8"/>
    <w:rsid w:val="006574DB"/>
    <w:rsid w:val="00657525"/>
    <w:rsid w:val="0065761B"/>
    <w:rsid w:val="00657883"/>
    <w:rsid w:val="00657FF2"/>
    <w:rsid w:val="006602DE"/>
    <w:rsid w:val="0066033B"/>
    <w:rsid w:val="00660E97"/>
    <w:rsid w:val="00662A3C"/>
    <w:rsid w:val="00663586"/>
    <w:rsid w:val="00664189"/>
    <w:rsid w:val="00665654"/>
    <w:rsid w:val="006657BC"/>
    <w:rsid w:val="00665976"/>
    <w:rsid w:val="00665CDB"/>
    <w:rsid w:val="00667670"/>
    <w:rsid w:val="00667CCB"/>
    <w:rsid w:val="006701BE"/>
    <w:rsid w:val="00670522"/>
    <w:rsid w:val="00671A75"/>
    <w:rsid w:val="00671B28"/>
    <w:rsid w:val="00671E48"/>
    <w:rsid w:val="00672A31"/>
    <w:rsid w:val="00674AAA"/>
    <w:rsid w:val="0067576D"/>
    <w:rsid w:val="006758D3"/>
    <w:rsid w:val="00675B42"/>
    <w:rsid w:val="00676221"/>
    <w:rsid w:val="00676360"/>
    <w:rsid w:val="00676D57"/>
    <w:rsid w:val="006804B9"/>
    <w:rsid w:val="0068055D"/>
    <w:rsid w:val="00680973"/>
    <w:rsid w:val="0068101F"/>
    <w:rsid w:val="006829C1"/>
    <w:rsid w:val="00682AAD"/>
    <w:rsid w:val="00682C84"/>
    <w:rsid w:val="00682FBD"/>
    <w:rsid w:val="00683661"/>
    <w:rsid w:val="00684CBC"/>
    <w:rsid w:val="00684F1E"/>
    <w:rsid w:val="00685328"/>
    <w:rsid w:val="0068714A"/>
    <w:rsid w:val="0069000E"/>
    <w:rsid w:val="00690553"/>
    <w:rsid w:val="0069123A"/>
    <w:rsid w:val="0069273E"/>
    <w:rsid w:val="00692D68"/>
    <w:rsid w:val="00693153"/>
    <w:rsid w:val="006937A0"/>
    <w:rsid w:val="00694F65"/>
    <w:rsid w:val="00695442"/>
    <w:rsid w:val="00695643"/>
    <w:rsid w:val="00695CD6"/>
    <w:rsid w:val="00695F8C"/>
    <w:rsid w:val="0069662F"/>
    <w:rsid w:val="00696907"/>
    <w:rsid w:val="0069706D"/>
    <w:rsid w:val="00697B17"/>
    <w:rsid w:val="00697B5A"/>
    <w:rsid w:val="006A0CA4"/>
    <w:rsid w:val="006A17A2"/>
    <w:rsid w:val="006A1A8C"/>
    <w:rsid w:val="006A2699"/>
    <w:rsid w:val="006A2853"/>
    <w:rsid w:val="006A2FA4"/>
    <w:rsid w:val="006A2FCE"/>
    <w:rsid w:val="006A3132"/>
    <w:rsid w:val="006A3319"/>
    <w:rsid w:val="006A43F7"/>
    <w:rsid w:val="006A47D4"/>
    <w:rsid w:val="006A48F4"/>
    <w:rsid w:val="006A4A67"/>
    <w:rsid w:val="006A4A84"/>
    <w:rsid w:val="006A5323"/>
    <w:rsid w:val="006A6332"/>
    <w:rsid w:val="006A697F"/>
    <w:rsid w:val="006A6C80"/>
    <w:rsid w:val="006A716E"/>
    <w:rsid w:val="006A7490"/>
    <w:rsid w:val="006A796F"/>
    <w:rsid w:val="006B0013"/>
    <w:rsid w:val="006B0505"/>
    <w:rsid w:val="006B0979"/>
    <w:rsid w:val="006B0A73"/>
    <w:rsid w:val="006B1B1C"/>
    <w:rsid w:val="006B2C1A"/>
    <w:rsid w:val="006B39F6"/>
    <w:rsid w:val="006B3B58"/>
    <w:rsid w:val="006B415F"/>
    <w:rsid w:val="006B5BDF"/>
    <w:rsid w:val="006B6477"/>
    <w:rsid w:val="006B71AE"/>
    <w:rsid w:val="006B73A3"/>
    <w:rsid w:val="006B76C4"/>
    <w:rsid w:val="006B792A"/>
    <w:rsid w:val="006B7B5E"/>
    <w:rsid w:val="006B7C01"/>
    <w:rsid w:val="006C008C"/>
    <w:rsid w:val="006C13D2"/>
    <w:rsid w:val="006C1495"/>
    <w:rsid w:val="006C254F"/>
    <w:rsid w:val="006C2578"/>
    <w:rsid w:val="006C257C"/>
    <w:rsid w:val="006C2B58"/>
    <w:rsid w:val="006C2FDC"/>
    <w:rsid w:val="006C39F5"/>
    <w:rsid w:val="006C3BBA"/>
    <w:rsid w:val="006C4423"/>
    <w:rsid w:val="006C471D"/>
    <w:rsid w:val="006C49FB"/>
    <w:rsid w:val="006C4EA7"/>
    <w:rsid w:val="006C5076"/>
    <w:rsid w:val="006C5B22"/>
    <w:rsid w:val="006C6138"/>
    <w:rsid w:val="006C66C2"/>
    <w:rsid w:val="006C6741"/>
    <w:rsid w:val="006C6A74"/>
    <w:rsid w:val="006D00AF"/>
    <w:rsid w:val="006D03D4"/>
    <w:rsid w:val="006D072A"/>
    <w:rsid w:val="006D0BC8"/>
    <w:rsid w:val="006D1C3F"/>
    <w:rsid w:val="006D1C62"/>
    <w:rsid w:val="006D290C"/>
    <w:rsid w:val="006D3397"/>
    <w:rsid w:val="006D381F"/>
    <w:rsid w:val="006D5148"/>
    <w:rsid w:val="006D5658"/>
    <w:rsid w:val="006D5CB0"/>
    <w:rsid w:val="006D6212"/>
    <w:rsid w:val="006D736E"/>
    <w:rsid w:val="006D788C"/>
    <w:rsid w:val="006E0CD2"/>
    <w:rsid w:val="006E1DBD"/>
    <w:rsid w:val="006E2642"/>
    <w:rsid w:val="006E2FCA"/>
    <w:rsid w:val="006E31E3"/>
    <w:rsid w:val="006E32F0"/>
    <w:rsid w:val="006E3342"/>
    <w:rsid w:val="006E3A34"/>
    <w:rsid w:val="006E3BD1"/>
    <w:rsid w:val="006E3FA5"/>
    <w:rsid w:val="006E49EF"/>
    <w:rsid w:val="006E4ABD"/>
    <w:rsid w:val="006E4B88"/>
    <w:rsid w:val="006E53E7"/>
    <w:rsid w:val="006E5DD3"/>
    <w:rsid w:val="006E607F"/>
    <w:rsid w:val="006E63EA"/>
    <w:rsid w:val="006E65FE"/>
    <w:rsid w:val="006E68B5"/>
    <w:rsid w:val="006E7D27"/>
    <w:rsid w:val="006F0260"/>
    <w:rsid w:val="006F04CA"/>
    <w:rsid w:val="006F071A"/>
    <w:rsid w:val="006F0780"/>
    <w:rsid w:val="006F07C0"/>
    <w:rsid w:val="006F0B2D"/>
    <w:rsid w:val="006F16CE"/>
    <w:rsid w:val="006F17A0"/>
    <w:rsid w:val="006F1A3C"/>
    <w:rsid w:val="006F1AC6"/>
    <w:rsid w:val="006F208A"/>
    <w:rsid w:val="006F2E06"/>
    <w:rsid w:val="006F37F1"/>
    <w:rsid w:val="006F3A60"/>
    <w:rsid w:val="006F3AA8"/>
    <w:rsid w:val="006F3EDB"/>
    <w:rsid w:val="006F4F07"/>
    <w:rsid w:val="006F58C7"/>
    <w:rsid w:val="006F5B53"/>
    <w:rsid w:val="006F5F7C"/>
    <w:rsid w:val="006F6938"/>
    <w:rsid w:val="006F6B93"/>
    <w:rsid w:val="006F7374"/>
    <w:rsid w:val="006F73E3"/>
    <w:rsid w:val="006F7542"/>
    <w:rsid w:val="006F79C4"/>
    <w:rsid w:val="00700085"/>
    <w:rsid w:val="007000FC"/>
    <w:rsid w:val="007002FC"/>
    <w:rsid w:val="00700A45"/>
    <w:rsid w:val="00700BF0"/>
    <w:rsid w:val="00700F3B"/>
    <w:rsid w:val="00701F82"/>
    <w:rsid w:val="007021DA"/>
    <w:rsid w:val="00702635"/>
    <w:rsid w:val="0070282B"/>
    <w:rsid w:val="0070330E"/>
    <w:rsid w:val="00705271"/>
    <w:rsid w:val="007053B7"/>
    <w:rsid w:val="007058EB"/>
    <w:rsid w:val="00705C96"/>
    <w:rsid w:val="00705D56"/>
    <w:rsid w:val="00705EC3"/>
    <w:rsid w:val="00706538"/>
    <w:rsid w:val="00706D02"/>
    <w:rsid w:val="007070B3"/>
    <w:rsid w:val="007071B2"/>
    <w:rsid w:val="00711350"/>
    <w:rsid w:val="007115FC"/>
    <w:rsid w:val="0071216A"/>
    <w:rsid w:val="007126FE"/>
    <w:rsid w:val="00712742"/>
    <w:rsid w:val="00712B8B"/>
    <w:rsid w:val="00712F73"/>
    <w:rsid w:val="00715D2E"/>
    <w:rsid w:val="0071650E"/>
    <w:rsid w:val="00717055"/>
    <w:rsid w:val="0071710D"/>
    <w:rsid w:val="007172D9"/>
    <w:rsid w:val="0072096E"/>
    <w:rsid w:val="00720B71"/>
    <w:rsid w:val="00720D83"/>
    <w:rsid w:val="0072102E"/>
    <w:rsid w:val="00721397"/>
    <w:rsid w:val="00722550"/>
    <w:rsid w:val="00722EEA"/>
    <w:rsid w:val="00723B54"/>
    <w:rsid w:val="0072411F"/>
    <w:rsid w:val="00724177"/>
    <w:rsid w:val="0072445C"/>
    <w:rsid w:val="00724947"/>
    <w:rsid w:val="00724A67"/>
    <w:rsid w:val="007253D3"/>
    <w:rsid w:val="00725532"/>
    <w:rsid w:val="00725C48"/>
    <w:rsid w:val="00726815"/>
    <w:rsid w:val="00727403"/>
    <w:rsid w:val="0072762D"/>
    <w:rsid w:val="0073028C"/>
    <w:rsid w:val="007306C9"/>
    <w:rsid w:val="0073073E"/>
    <w:rsid w:val="00730C63"/>
    <w:rsid w:val="00731566"/>
    <w:rsid w:val="007316DE"/>
    <w:rsid w:val="007317C9"/>
    <w:rsid w:val="00731D93"/>
    <w:rsid w:val="007321B2"/>
    <w:rsid w:val="00732505"/>
    <w:rsid w:val="007326EC"/>
    <w:rsid w:val="0073280B"/>
    <w:rsid w:val="00733273"/>
    <w:rsid w:val="00733567"/>
    <w:rsid w:val="0073481E"/>
    <w:rsid w:val="00734AAF"/>
    <w:rsid w:val="007359D6"/>
    <w:rsid w:val="00736105"/>
    <w:rsid w:val="0073694C"/>
    <w:rsid w:val="00736F2B"/>
    <w:rsid w:val="00737AAB"/>
    <w:rsid w:val="007403F3"/>
    <w:rsid w:val="007405F6"/>
    <w:rsid w:val="00740961"/>
    <w:rsid w:val="007409F8"/>
    <w:rsid w:val="007410E4"/>
    <w:rsid w:val="007417F5"/>
    <w:rsid w:val="00742DAE"/>
    <w:rsid w:val="00742F00"/>
    <w:rsid w:val="00743668"/>
    <w:rsid w:val="007440C9"/>
    <w:rsid w:val="00744355"/>
    <w:rsid w:val="007445D2"/>
    <w:rsid w:val="00745459"/>
    <w:rsid w:val="00745B6B"/>
    <w:rsid w:val="00745EAD"/>
    <w:rsid w:val="00746317"/>
    <w:rsid w:val="007465FF"/>
    <w:rsid w:val="00746F57"/>
    <w:rsid w:val="00747D03"/>
    <w:rsid w:val="00747D13"/>
    <w:rsid w:val="00747DB5"/>
    <w:rsid w:val="00750281"/>
    <w:rsid w:val="007504B8"/>
    <w:rsid w:val="0075053D"/>
    <w:rsid w:val="00750E7C"/>
    <w:rsid w:val="00751021"/>
    <w:rsid w:val="00751121"/>
    <w:rsid w:val="00751570"/>
    <w:rsid w:val="007516F6"/>
    <w:rsid w:val="0075185A"/>
    <w:rsid w:val="00751877"/>
    <w:rsid w:val="00751C55"/>
    <w:rsid w:val="00751C58"/>
    <w:rsid w:val="00752669"/>
    <w:rsid w:val="00752EBB"/>
    <w:rsid w:val="0075377F"/>
    <w:rsid w:val="0075469A"/>
    <w:rsid w:val="00754814"/>
    <w:rsid w:val="00755315"/>
    <w:rsid w:val="007557B1"/>
    <w:rsid w:val="0075642C"/>
    <w:rsid w:val="00756BB6"/>
    <w:rsid w:val="00757132"/>
    <w:rsid w:val="0075780D"/>
    <w:rsid w:val="00760A7B"/>
    <w:rsid w:val="00761C59"/>
    <w:rsid w:val="0076240D"/>
    <w:rsid w:val="007629B8"/>
    <w:rsid w:val="007629FB"/>
    <w:rsid w:val="007636AB"/>
    <w:rsid w:val="007636AF"/>
    <w:rsid w:val="007644F0"/>
    <w:rsid w:val="00764832"/>
    <w:rsid w:val="00764B05"/>
    <w:rsid w:val="007658C1"/>
    <w:rsid w:val="0076595A"/>
    <w:rsid w:val="00766149"/>
    <w:rsid w:val="00766AB2"/>
    <w:rsid w:val="00766D30"/>
    <w:rsid w:val="007674C4"/>
    <w:rsid w:val="00767DD1"/>
    <w:rsid w:val="00770060"/>
    <w:rsid w:val="00770AAE"/>
    <w:rsid w:val="00771049"/>
    <w:rsid w:val="0077159C"/>
    <w:rsid w:val="007720F9"/>
    <w:rsid w:val="00772484"/>
    <w:rsid w:val="007729DF"/>
    <w:rsid w:val="0077385C"/>
    <w:rsid w:val="00773987"/>
    <w:rsid w:val="00774AAA"/>
    <w:rsid w:val="00775AC9"/>
    <w:rsid w:val="00776067"/>
    <w:rsid w:val="007773F2"/>
    <w:rsid w:val="007776D3"/>
    <w:rsid w:val="00780D41"/>
    <w:rsid w:val="0078252C"/>
    <w:rsid w:val="00782552"/>
    <w:rsid w:val="007834C6"/>
    <w:rsid w:val="00783CBC"/>
    <w:rsid w:val="00784C3F"/>
    <w:rsid w:val="0078504F"/>
    <w:rsid w:val="00785307"/>
    <w:rsid w:val="007858F3"/>
    <w:rsid w:val="00785983"/>
    <w:rsid w:val="007865CA"/>
    <w:rsid w:val="00786B22"/>
    <w:rsid w:val="00786B5A"/>
    <w:rsid w:val="00787262"/>
    <w:rsid w:val="00790132"/>
    <w:rsid w:val="00790A15"/>
    <w:rsid w:val="007912FE"/>
    <w:rsid w:val="00791863"/>
    <w:rsid w:val="007919AA"/>
    <w:rsid w:val="00792039"/>
    <w:rsid w:val="00792AC6"/>
    <w:rsid w:val="00792E43"/>
    <w:rsid w:val="007937E8"/>
    <w:rsid w:val="007947DD"/>
    <w:rsid w:val="00794907"/>
    <w:rsid w:val="00796AED"/>
    <w:rsid w:val="00796D88"/>
    <w:rsid w:val="00796DA7"/>
    <w:rsid w:val="00797BDC"/>
    <w:rsid w:val="00797DE0"/>
    <w:rsid w:val="00797ECB"/>
    <w:rsid w:val="007A015D"/>
    <w:rsid w:val="007A0241"/>
    <w:rsid w:val="007A089C"/>
    <w:rsid w:val="007A08CA"/>
    <w:rsid w:val="007A0E5C"/>
    <w:rsid w:val="007A0F46"/>
    <w:rsid w:val="007A10D7"/>
    <w:rsid w:val="007A10DE"/>
    <w:rsid w:val="007A1F2E"/>
    <w:rsid w:val="007A2104"/>
    <w:rsid w:val="007A2EDE"/>
    <w:rsid w:val="007A3981"/>
    <w:rsid w:val="007A3CB0"/>
    <w:rsid w:val="007A44A0"/>
    <w:rsid w:val="007A4850"/>
    <w:rsid w:val="007A4F3D"/>
    <w:rsid w:val="007A5DB0"/>
    <w:rsid w:val="007A689E"/>
    <w:rsid w:val="007A715B"/>
    <w:rsid w:val="007A725E"/>
    <w:rsid w:val="007A7C35"/>
    <w:rsid w:val="007A7D90"/>
    <w:rsid w:val="007B079D"/>
    <w:rsid w:val="007B09BA"/>
    <w:rsid w:val="007B102D"/>
    <w:rsid w:val="007B1139"/>
    <w:rsid w:val="007B12F6"/>
    <w:rsid w:val="007B1808"/>
    <w:rsid w:val="007B1817"/>
    <w:rsid w:val="007B20BD"/>
    <w:rsid w:val="007B2B5C"/>
    <w:rsid w:val="007B2C46"/>
    <w:rsid w:val="007B2EE0"/>
    <w:rsid w:val="007B31B7"/>
    <w:rsid w:val="007B38A1"/>
    <w:rsid w:val="007B436A"/>
    <w:rsid w:val="007B4A58"/>
    <w:rsid w:val="007B5049"/>
    <w:rsid w:val="007B674E"/>
    <w:rsid w:val="007B704B"/>
    <w:rsid w:val="007C08C6"/>
    <w:rsid w:val="007C1034"/>
    <w:rsid w:val="007C16A2"/>
    <w:rsid w:val="007C1931"/>
    <w:rsid w:val="007C1E66"/>
    <w:rsid w:val="007C2CAD"/>
    <w:rsid w:val="007C2E5D"/>
    <w:rsid w:val="007C4BB3"/>
    <w:rsid w:val="007C4E67"/>
    <w:rsid w:val="007C52AF"/>
    <w:rsid w:val="007C5FAE"/>
    <w:rsid w:val="007C72CE"/>
    <w:rsid w:val="007C7950"/>
    <w:rsid w:val="007C7BDD"/>
    <w:rsid w:val="007D0873"/>
    <w:rsid w:val="007D113A"/>
    <w:rsid w:val="007D11B8"/>
    <w:rsid w:val="007D14D4"/>
    <w:rsid w:val="007D1A98"/>
    <w:rsid w:val="007D1C83"/>
    <w:rsid w:val="007D20C1"/>
    <w:rsid w:val="007D2899"/>
    <w:rsid w:val="007D2AEF"/>
    <w:rsid w:val="007D3D15"/>
    <w:rsid w:val="007D3FE0"/>
    <w:rsid w:val="007D4336"/>
    <w:rsid w:val="007D4504"/>
    <w:rsid w:val="007D4E85"/>
    <w:rsid w:val="007D5204"/>
    <w:rsid w:val="007D5259"/>
    <w:rsid w:val="007D695E"/>
    <w:rsid w:val="007D71A5"/>
    <w:rsid w:val="007D7740"/>
    <w:rsid w:val="007D78A1"/>
    <w:rsid w:val="007D7A6C"/>
    <w:rsid w:val="007D7B4D"/>
    <w:rsid w:val="007E03D7"/>
    <w:rsid w:val="007E0E7D"/>
    <w:rsid w:val="007E0F12"/>
    <w:rsid w:val="007E0FB4"/>
    <w:rsid w:val="007E0FBA"/>
    <w:rsid w:val="007E15B5"/>
    <w:rsid w:val="007E184C"/>
    <w:rsid w:val="007E19E9"/>
    <w:rsid w:val="007E21C9"/>
    <w:rsid w:val="007E22FF"/>
    <w:rsid w:val="007E270A"/>
    <w:rsid w:val="007E27D9"/>
    <w:rsid w:val="007E2B78"/>
    <w:rsid w:val="007E3034"/>
    <w:rsid w:val="007E31B9"/>
    <w:rsid w:val="007E3F78"/>
    <w:rsid w:val="007E4975"/>
    <w:rsid w:val="007E66DF"/>
    <w:rsid w:val="007E698A"/>
    <w:rsid w:val="007E6F68"/>
    <w:rsid w:val="007E6FC1"/>
    <w:rsid w:val="007E7941"/>
    <w:rsid w:val="007F0159"/>
    <w:rsid w:val="007F0453"/>
    <w:rsid w:val="007F081D"/>
    <w:rsid w:val="007F0A90"/>
    <w:rsid w:val="007F0C9B"/>
    <w:rsid w:val="007F1CD0"/>
    <w:rsid w:val="007F1F8C"/>
    <w:rsid w:val="007F2BFF"/>
    <w:rsid w:val="007F2D67"/>
    <w:rsid w:val="007F2E3F"/>
    <w:rsid w:val="007F3CAF"/>
    <w:rsid w:val="007F3CB6"/>
    <w:rsid w:val="007F3E31"/>
    <w:rsid w:val="007F4222"/>
    <w:rsid w:val="007F439B"/>
    <w:rsid w:val="007F443D"/>
    <w:rsid w:val="007F4453"/>
    <w:rsid w:val="007F45BF"/>
    <w:rsid w:val="007F4A02"/>
    <w:rsid w:val="007F5019"/>
    <w:rsid w:val="007F5357"/>
    <w:rsid w:val="007F5491"/>
    <w:rsid w:val="007F58CA"/>
    <w:rsid w:val="007F5E19"/>
    <w:rsid w:val="007F5F20"/>
    <w:rsid w:val="007F7799"/>
    <w:rsid w:val="007F79AF"/>
    <w:rsid w:val="007F7C6B"/>
    <w:rsid w:val="00800289"/>
    <w:rsid w:val="008003B5"/>
    <w:rsid w:val="0080123B"/>
    <w:rsid w:val="00801561"/>
    <w:rsid w:val="008015E6"/>
    <w:rsid w:val="008019BE"/>
    <w:rsid w:val="00802485"/>
    <w:rsid w:val="00802868"/>
    <w:rsid w:val="00804C24"/>
    <w:rsid w:val="00804C36"/>
    <w:rsid w:val="00804D7D"/>
    <w:rsid w:val="008051BB"/>
    <w:rsid w:val="008055E2"/>
    <w:rsid w:val="00805BCC"/>
    <w:rsid w:val="00805EC7"/>
    <w:rsid w:val="0080630C"/>
    <w:rsid w:val="00807499"/>
    <w:rsid w:val="00807992"/>
    <w:rsid w:val="00807C2D"/>
    <w:rsid w:val="008109B8"/>
    <w:rsid w:val="008116E7"/>
    <w:rsid w:val="008118A6"/>
    <w:rsid w:val="00812C70"/>
    <w:rsid w:val="00812D14"/>
    <w:rsid w:val="00813BD7"/>
    <w:rsid w:val="00813CEC"/>
    <w:rsid w:val="00814E9F"/>
    <w:rsid w:val="00815729"/>
    <w:rsid w:val="00815C97"/>
    <w:rsid w:val="008162C4"/>
    <w:rsid w:val="00816374"/>
    <w:rsid w:val="00817176"/>
    <w:rsid w:val="008176BA"/>
    <w:rsid w:val="00820005"/>
    <w:rsid w:val="0082087C"/>
    <w:rsid w:val="00820A57"/>
    <w:rsid w:val="00820B89"/>
    <w:rsid w:val="00821EA4"/>
    <w:rsid w:val="008228C7"/>
    <w:rsid w:val="00822A4D"/>
    <w:rsid w:val="00823607"/>
    <w:rsid w:val="008236E1"/>
    <w:rsid w:val="0082394D"/>
    <w:rsid w:val="00823EED"/>
    <w:rsid w:val="0082430E"/>
    <w:rsid w:val="008252DB"/>
    <w:rsid w:val="0082594E"/>
    <w:rsid w:val="00825AB6"/>
    <w:rsid w:val="0082602E"/>
    <w:rsid w:val="008262FA"/>
    <w:rsid w:val="0082700A"/>
    <w:rsid w:val="008270D5"/>
    <w:rsid w:val="008276D6"/>
    <w:rsid w:val="00827DA8"/>
    <w:rsid w:val="00830B2E"/>
    <w:rsid w:val="00830BFD"/>
    <w:rsid w:val="00831186"/>
    <w:rsid w:val="008313FF"/>
    <w:rsid w:val="0083166A"/>
    <w:rsid w:val="00831E55"/>
    <w:rsid w:val="008324D6"/>
    <w:rsid w:val="008330DB"/>
    <w:rsid w:val="008330F2"/>
    <w:rsid w:val="00833665"/>
    <w:rsid w:val="00833A98"/>
    <w:rsid w:val="00833F0B"/>
    <w:rsid w:val="00834C08"/>
    <w:rsid w:val="00834F9A"/>
    <w:rsid w:val="008357DA"/>
    <w:rsid w:val="0083582F"/>
    <w:rsid w:val="00836146"/>
    <w:rsid w:val="00836187"/>
    <w:rsid w:val="0083653B"/>
    <w:rsid w:val="008367D4"/>
    <w:rsid w:val="00836BEF"/>
    <w:rsid w:val="008371A5"/>
    <w:rsid w:val="0084005D"/>
    <w:rsid w:val="008406EC"/>
    <w:rsid w:val="0084073A"/>
    <w:rsid w:val="00840F32"/>
    <w:rsid w:val="00841597"/>
    <w:rsid w:val="00841F76"/>
    <w:rsid w:val="008422D6"/>
    <w:rsid w:val="0084242B"/>
    <w:rsid w:val="00842627"/>
    <w:rsid w:val="008428F6"/>
    <w:rsid w:val="00842E11"/>
    <w:rsid w:val="00843763"/>
    <w:rsid w:val="00843F4F"/>
    <w:rsid w:val="0084419D"/>
    <w:rsid w:val="00844D1E"/>
    <w:rsid w:val="0084525B"/>
    <w:rsid w:val="0084555F"/>
    <w:rsid w:val="008455C8"/>
    <w:rsid w:val="008467BC"/>
    <w:rsid w:val="008468B6"/>
    <w:rsid w:val="008469EE"/>
    <w:rsid w:val="00846D51"/>
    <w:rsid w:val="00847379"/>
    <w:rsid w:val="00847B1D"/>
    <w:rsid w:val="0085001D"/>
    <w:rsid w:val="00850220"/>
    <w:rsid w:val="008502E4"/>
    <w:rsid w:val="008504BA"/>
    <w:rsid w:val="008507E4"/>
    <w:rsid w:val="00850DEA"/>
    <w:rsid w:val="00850EDF"/>
    <w:rsid w:val="00851895"/>
    <w:rsid w:val="008518C4"/>
    <w:rsid w:val="00851B2D"/>
    <w:rsid w:val="008520D0"/>
    <w:rsid w:val="008524A1"/>
    <w:rsid w:val="00852850"/>
    <w:rsid w:val="00852D24"/>
    <w:rsid w:val="00852DFE"/>
    <w:rsid w:val="00853BAE"/>
    <w:rsid w:val="00854110"/>
    <w:rsid w:val="008545CB"/>
    <w:rsid w:val="008547FB"/>
    <w:rsid w:val="00854F65"/>
    <w:rsid w:val="008555B3"/>
    <w:rsid w:val="00855852"/>
    <w:rsid w:val="00855A27"/>
    <w:rsid w:val="008563E7"/>
    <w:rsid w:val="008575F7"/>
    <w:rsid w:val="00857DE4"/>
    <w:rsid w:val="0086096D"/>
    <w:rsid w:val="00861203"/>
    <w:rsid w:val="008625BA"/>
    <w:rsid w:val="008626EC"/>
    <w:rsid w:val="00862BA1"/>
    <w:rsid w:val="00863881"/>
    <w:rsid w:val="00863F7B"/>
    <w:rsid w:val="00864219"/>
    <w:rsid w:val="0086472D"/>
    <w:rsid w:val="00864E57"/>
    <w:rsid w:val="00865384"/>
    <w:rsid w:val="00865CBF"/>
    <w:rsid w:val="00865DC8"/>
    <w:rsid w:val="008667F9"/>
    <w:rsid w:val="008668E8"/>
    <w:rsid w:val="008676B3"/>
    <w:rsid w:val="00867C40"/>
    <w:rsid w:val="008706F9"/>
    <w:rsid w:val="00870815"/>
    <w:rsid w:val="00871563"/>
    <w:rsid w:val="0087195D"/>
    <w:rsid w:val="00872682"/>
    <w:rsid w:val="0087293D"/>
    <w:rsid w:val="00872EA0"/>
    <w:rsid w:val="00873E48"/>
    <w:rsid w:val="00874036"/>
    <w:rsid w:val="008747F2"/>
    <w:rsid w:val="0087540E"/>
    <w:rsid w:val="008757FE"/>
    <w:rsid w:val="00876D16"/>
    <w:rsid w:val="00876EA5"/>
    <w:rsid w:val="00876F20"/>
    <w:rsid w:val="008778FF"/>
    <w:rsid w:val="0087798C"/>
    <w:rsid w:val="00877CB5"/>
    <w:rsid w:val="00877DE9"/>
    <w:rsid w:val="0088073B"/>
    <w:rsid w:val="00880A94"/>
    <w:rsid w:val="00880E7F"/>
    <w:rsid w:val="008815CA"/>
    <w:rsid w:val="008815CC"/>
    <w:rsid w:val="0088219B"/>
    <w:rsid w:val="008823CE"/>
    <w:rsid w:val="00882CCF"/>
    <w:rsid w:val="0088312F"/>
    <w:rsid w:val="00883331"/>
    <w:rsid w:val="00883430"/>
    <w:rsid w:val="008834EC"/>
    <w:rsid w:val="008836A6"/>
    <w:rsid w:val="00883D55"/>
    <w:rsid w:val="0088472C"/>
    <w:rsid w:val="00885004"/>
    <w:rsid w:val="00885547"/>
    <w:rsid w:val="00885C19"/>
    <w:rsid w:val="00885F0A"/>
    <w:rsid w:val="0088639D"/>
    <w:rsid w:val="008865F3"/>
    <w:rsid w:val="008865FD"/>
    <w:rsid w:val="00886AD8"/>
    <w:rsid w:val="008877C8"/>
    <w:rsid w:val="00887A0C"/>
    <w:rsid w:val="00887F65"/>
    <w:rsid w:val="00891158"/>
    <w:rsid w:val="00891779"/>
    <w:rsid w:val="00891C0D"/>
    <w:rsid w:val="008921E6"/>
    <w:rsid w:val="00892629"/>
    <w:rsid w:val="00893147"/>
    <w:rsid w:val="0089365C"/>
    <w:rsid w:val="00894993"/>
    <w:rsid w:val="00894D5F"/>
    <w:rsid w:val="008950B9"/>
    <w:rsid w:val="0089518B"/>
    <w:rsid w:val="00895952"/>
    <w:rsid w:val="00895C9F"/>
    <w:rsid w:val="00896BE3"/>
    <w:rsid w:val="00896BEB"/>
    <w:rsid w:val="00896D3D"/>
    <w:rsid w:val="008978C9"/>
    <w:rsid w:val="008A009A"/>
    <w:rsid w:val="008A09EF"/>
    <w:rsid w:val="008A1824"/>
    <w:rsid w:val="008A2968"/>
    <w:rsid w:val="008A2B17"/>
    <w:rsid w:val="008A356B"/>
    <w:rsid w:val="008A3991"/>
    <w:rsid w:val="008A47A9"/>
    <w:rsid w:val="008A4DE3"/>
    <w:rsid w:val="008A551E"/>
    <w:rsid w:val="008A5A4E"/>
    <w:rsid w:val="008A648C"/>
    <w:rsid w:val="008A68B7"/>
    <w:rsid w:val="008A713F"/>
    <w:rsid w:val="008A7232"/>
    <w:rsid w:val="008A7B56"/>
    <w:rsid w:val="008A7EEF"/>
    <w:rsid w:val="008B0054"/>
    <w:rsid w:val="008B0DB2"/>
    <w:rsid w:val="008B2284"/>
    <w:rsid w:val="008B2853"/>
    <w:rsid w:val="008B28D7"/>
    <w:rsid w:val="008B3B61"/>
    <w:rsid w:val="008B40C1"/>
    <w:rsid w:val="008B4407"/>
    <w:rsid w:val="008B49CB"/>
    <w:rsid w:val="008B4BF9"/>
    <w:rsid w:val="008B5E48"/>
    <w:rsid w:val="008B6073"/>
    <w:rsid w:val="008B63AD"/>
    <w:rsid w:val="008B7058"/>
    <w:rsid w:val="008C0828"/>
    <w:rsid w:val="008C0A97"/>
    <w:rsid w:val="008C0ACB"/>
    <w:rsid w:val="008C0CAC"/>
    <w:rsid w:val="008C1923"/>
    <w:rsid w:val="008C1A39"/>
    <w:rsid w:val="008C21D8"/>
    <w:rsid w:val="008C25DB"/>
    <w:rsid w:val="008C28BC"/>
    <w:rsid w:val="008C2B3A"/>
    <w:rsid w:val="008C2CAA"/>
    <w:rsid w:val="008C2E12"/>
    <w:rsid w:val="008C3B29"/>
    <w:rsid w:val="008C40F8"/>
    <w:rsid w:val="008C4E78"/>
    <w:rsid w:val="008C5239"/>
    <w:rsid w:val="008C632F"/>
    <w:rsid w:val="008C7B95"/>
    <w:rsid w:val="008D03EB"/>
    <w:rsid w:val="008D04B1"/>
    <w:rsid w:val="008D0955"/>
    <w:rsid w:val="008D0D7B"/>
    <w:rsid w:val="008D104C"/>
    <w:rsid w:val="008D131C"/>
    <w:rsid w:val="008D1543"/>
    <w:rsid w:val="008D22FB"/>
    <w:rsid w:val="008D2398"/>
    <w:rsid w:val="008D24B1"/>
    <w:rsid w:val="008D2575"/>
    <w:rsid w:val="008D2BEF"/>
    <w:rsid w:val="008D2DC2"/>
    <w:rsid w:val="008D2E03"/>
    <w:rsid w:val="008D30E2"/>
    <w:rsid w:val="008D314A"/>
    <w:rsid w:val="008D43B1"/>
    <w:rsid w:val="008D5286"/>
    <w:rsid w:val="008D5931"/>
    <w:rsid w:val="008D5F38"/>
    <w:rsid w:val="008D605F"/>
    <w:rsid w:val="008D6F93"/>
    <w:rsid w:val="008D7984"/>
    <w:rsid w:val="008E0107"/>
    <w:rsid w:val="008E0DDF"/>
    <w:rsid w:val="008E0FF9"/>
    <w:rsid w:val="008E1FD9"/>
    <w:rsid w:val="008E24D2"/>
    <w:rsid w:val="008E24FD"/>
    <w:rsid w:val="008E314D"/>
    <w:rsid w:val="008E37F9"/>
    <w:rsid w:val="008E3BC2"/>
    <w:rsid w:val="008E3DFF"/>
    <w:rsid w:val="008E402D"/>
    <w:rsid w:val="008E452A"/>
    <w:rsid w:val="008E4E39"/>
    <w:rsid w:val="008E536E"/>
    <w:rsid w:val="008E54F5"/>
    <w:rsid w:val="008E5517"/>
    <w:rsid w:val="008E619C"/>
    <w:rsid w:val="008E7EA6"/>
    <w:rsid w:val="008E7F4B"/>
    <w:rsid w:val="008F062C"/>
    <w:rsid w:val="008F0C62"/>
    <w:rsid w:val="008F0D3B"/>
    <w:rsid w:val="008F15CB"/>
    <w:rsid w:val="008F181D"/>
    <w:rsid w:val="008F2028"/>
    <w:rsid w:val="008F2293"/>
    <w:rsid w:val="008F325A"/>
    <w:rsid w:val="008F3DCA"/>
    <w:rsid w:val="008F3EF1"/>
    <w:rsid w:val="008F403B"/>
    <w:rsid w:val="008F43EA"/>
    <w:rsid w:val="008F48C4"/>
    <w:rsid w:val="008F4B04"/>
    <w:rsid w:val="008F4EDF"/>
    <w:rsid w:val="008F4EF3"/>
    <w:rsid w:val="008F5075"/>
    <w:rsid w:val="008F5A47"/>
    <w:rsid w:val="008F5AAE"/>
    <w:rsid w:val="008F67E1"/>
    <w:rsid w:val="008F6EBD"/>
    <w:rsid w:val="008F705E"/>
    <w:rsid w:val="008F7C82"/>
    <w:rsid w:val="00900D84"/>
    <w:rsid w:val="00901228"/>
    <w:rsid w:val="00902146"/>
    <w:rsid w:val="0090298B"/>
    <w:rsid w:val="00902C23"/>
    <w:rsid w:val="00902C4C"/>
    <w:rsid w:val="00902DC4"/>
    <w:rsid w:val="00903CB7"/>
    <w:rsid w:val="0090472E"/>
    <w:rsid w:val="009053AA"/>
    <w:rsid w:val="00905DC0"/>
    <w:rsid w:val="00906887"/>
    <w:rsid w:val="0090741F"/>
    <w:rsid w:val="0090773F"/>
    <w:rsid w:val="00907AAB"/>
    <w:rsid w:val="00907AE5"/>
    <w:rsid w:val="009105E2"/>
    <w:rsid w:val="00910D77"/>
    <w:rsid w:val="00911F74"/>
    <w:rsid w:val="009125F3"/>
    <w:rsid w:val="00912A8F"/>
    <w:rsid w:val="00912E9C"/>
    <w:rsid w:val="00913323"/>
    <w:rsid w:val="00913423"/>
    <w:rsid w:val="0091371C"/>
    <w:rsid w:val="00913B93"/>
    <w:rsid w:val="0091423D"/>
    <w:rsid w:val="0091458E"/>
    <w:rsid w:val="00914AEF"/>
    <w:rsid w:val="00914CF9"/>
    <w:rsid w:val="00914E14"/>
    <w:rsid w:val="009150FC"/>
    <w:rsid w:val="009153DE"/>
    <w:rsid w:val="00915817"/>
    <w:rsid w:val="00915856"/>
    <w:rsid w:val="0091585F"/>
    <w:rsid w:val="0091715E"/>
    <w:rsid w:val="009175F5"/>
    <w:rsid w:val="00920264"/>
    <w:rsid w:val="009208FF"/>
    <w:rsid w:val="00920934"/>
    <w:rsid w:val="009224FB"/>
    <w:rsid w:val="00922CA2"/>
    <w:rsid w:val="00922D96"/>
    <w:rsid w:val="00922FC1"/>
    <w:rsid w:val="00923724"/>
    <w:rsid w:val="00923769"/>
    <w:rsid w:val="00923D8F"/>
    <w:rsid w:val="00924054"/>
    <w:rsid w:val="00925B8B"/>
    <w:rsid w:val="00925E60"/>
    <w:rsid w:val="00926CD7"/>
    <w:rsid w:val="00927451"/>
    <w:rsid w:val="00927A06"/>
    <w:rsid w:val="00927EF2"/>
    <w:rsid w:val="00930B3C"/>
    <w:rsid w:val="00931119"/>
    <w:rsid w:val="009311D1"/>
    <w:rsid w:val="00931846"/>
    <w:rsid w:val="00931931"/>
    <w:rsid w:val="0093311F"/>
    <w:rsid w:val="0093321E"/>
    <w:rsid w:val="0093339E"/>
    <w:rsid w:val="00935935"/>
    <w:rsid w:val="00935BAF"/>
    <w:rsid w:val="009361F2"/>
    <w:rsid w:val="00936B18"/>
    <w:rsid w:val="009400E1"/>
    <w:rsid w:val="009405BB"/>
    <w:rsid w:val="0094063E"/>
    <w:rsid w:val="00941369"/>
    <w:rsid w:val="00941572"/>
    <w:rsid w:val="009418D9"/>
    <w:rsid w:val="00942B0D"/>
    <w:rsid w:val="00942F7C"/>
    <w:rsid w:val="009436C9"/>
    <w:rsid w:val="00943731"/>
    <w:rsid w:val="0094387C"/>
    <w:rsid w:val="00943D73"/>
    <w:rsid w:val="0094494C"/>
    <w:rsid w:val="009449FF"/>
    <w:rsid w:val="00944E99"/>
    <w:rsid w:val="009456E7"/>
    <w:rsid w:val="00945719"/>
    <w:rsid w:val="009457E1"/>
    <w:rsid w:val="00945D12"/>
    <w:rsid w:val="0094758B"/>
    <w:rsid w:val="00950526"/>
    <w:rsid w:val="00950C03"/>
    <w:rsid w:val="009516F5"/>
    <w:rsid w:val="00952856"/>
    <w:rsid w:val="00953838"/>
    <w:rsid w:val="00953DDD"/>
    <w:rsid w:val="00953EC6"/>
    <w:rsid w:val="00954A76"/>
    <w:rsid w:val="00954D59"/>
    <w:rsid w:val="00954E6C"/>
    <w:rsid w:val="00955472"/>
    <w:rsid w:val="0095583F"/>
    <w:rsid w:val="00956408"/>
    <w:rsid w:val="00956BB7"/>
    <w:rsid w:val="009576EC"/>
    <w:rsid w:val="0095774D"/>
    <w:rsid w:val="0095779F"/>
    <w:rsid w:val="00957C0B"/>
    <w:rsid w:val="00960143"/>
    <w:rsid w:val="009604FE"/>
    <w:rsid w:val="0096071D"/>
    <w:rsid w:val="009607AC"/>
    <w:rsid w:val="00960D4C"/>
    <w:rsid w:val="00960F38"/>
    <w:rsid w:val="00961721"/>
    <w:rsid w:val="009618AB"/>
    <w:rsid w:val="00962160"/>
    <w:rsid w:val="0096243D"/>
    <w:rsid w:val="009626E8"/>
    <w:rsid w:val="00962DE0"/>
    <w:rsid w:val="0096370E"/>
    <w:rsid w:val="00963719"/>
    <w:rsid w:val="009639ED"/>
    <w:rsid w:val="00963E4B"/>
    <w:rsid w:val="00963F6F"/>
    <w:rsid w:val="00964904"/>
    <w:rsid w:val="00965411"/>
    <w:rsid w:val="00966380"/>
    <w:rsid w:val="00966646"/>
    <w:rsid w:val="00966932"/>
    <w:rsid w:val="00967CE9"/>
    <w:rsid w:val="009705E8"/>
    <w:rsid w:val="00970E94"/>
    <w:rsid w:val="009717B0"/>
    <w:rsid w:val="009724C3"/>
    <w:rsid w:val="00972A99"/>
    <w:rsid w:val="00972CCF"/>
    <w:rsid w:val="00973439"/>
    <w:rsid w:val="009737E5"/>
    <w:rsid w:val="00973BFA"/>
    <w:rsid w:val="00973D31"/>
    <w:rsid w:val="00973E42"/>
    <w:rsid w:val="009740DB"/>
    <w:rsid w:val="00974984"/>
    <w:rsid w:val="00974B1C"/>
    <w:rsid w:val="00974C84"/>
    <w:rsid w:val="00974DAE"/>
    <w:rsid w:val="00975079"/>
    <w:rsid w:val="00975517"/>
    <w:rsid w:val="009759E2"/>
    <w:rsid w:val="00975A35"/>
    <w:rsid w:val="00975EF7"/>
    <w:rsid w:val="009760BF"/>
    <w:rsid w:val="00976DCF"/>
    <w:rsid w:val="0098009B"/>
    <w:rsid w:val="009806DB"/>
    <w:rsid w:val="00981060"/>
    <w:rsid w:val="009828D9"/>
    <w:rsid w:val="00982C9E"/>
    <w:rsid w:val="00982D18"/>
    <w:rsid w:val="00982FCC"/>
    <w:rsid w:val="00983355"/>
    <w:rsid w:val="009835A7"/>
    <w:rsid w:val="00983641"/>
    <w:rsid w:val="00983911"/>
    <w:rsid w:val="00983BFF"/>
    <w:rsid w:val="00983C6D"/>
    <w:rsid w:val="00984377"/>
    <w:rsid w:val="009845DB"/>
    <w:rsid w:val="00984FB1"/>
    <w:rsid w:val="009855BF"/>
    <w:rsid w:val="00985F2B"/>
    <w:rsid w:val="0098615F"/>
    <w:rsid w:val="00986F43"/>
    <w:rsid w:val="009902DC"/>
    <w:rsid w:val="0099071D"/>
    <w:rsid w:val="0099089A"/>
    <w:rsid w:val="00992093"/>
    <w:rsid w:val="00992458"/>
    <w:rsid w:val="00992691"/>
    <w:rsid w:val="00992F6D"/>
    <w:rsid w:val="009937AA"/>
    <w:rsid w:val="0099399E"/>
    <w:rsid w:val="00993FB6"/>
    <w:rsid w:val="009941DF"/>
    <w:rsid w:val="00994528"/>
    <w:rsid w:val="00994935"/>
    <w:rsid w:val="00995A05"/>
    <w:rsid w:val="00995DA6"/>
    <w:rsid w:val="0099609C"/>
    <w:rsid w:val="00996661"/>
    <w:rsid w:val="00996A56"/>
    <w:rsid w:val="00996ACD"/>
    <w:rsid w:val="00996B23"/>
    <w:rsid w:val="00996C72"/>
    <w:rsid w:val="009970DE"/>
    <w:rsid w:val="009975C9"/>
    <w:rsid w:val="009979EB"/>
    <w:rsid w:val="00997EDD"/>
    <w:rsid w:val="009A0512"/>
    <w:rsid w:val="009A075C"/>
    <w:rsid w:val="009A0A79"/>
    <w:rsid w:val="009A10C9"/>
    <w:rsid w:val="009A1547"/>
    <w:rsid w:val="009A28BE"/>
    <w:rsid w:val="009A31D5"/>
    <w:rsid w:val="009A408B"/>
    <w:rsid w:val="009A4918"/>
    <w:rsid w:val="009A4965"/>
    <w:rsid w:val="009A4F81"/>
    <w:rsid w:val="009A5C64"/>
    <w:rsid w:val="009A63CA"/>
    <w:rsid w:val="009A643F"/>
    <w:rsid w:val="009A64B8"/>
    <w:rsid w:val="009A7595"/>
    <w:rsid w:val="009A77B9"/>
    <w:rsid w:val="009A794E"/>
    <w:rsid w:val="009A7DD5"/>
    <w:rsid w:val="009A7F22"/>
    <w:rsid w:val="009B013F"/>
    <w:rsid w:val="009B0654"/>
    <w:rsid w:val="009B069F"/>
    <w:rsid w:val="009B13E4"/>
    <w:rsid w:val="009B1E45"/>
    <w:rsid w:val="009B2704"/>
    <w:rsid w:val="009B3BF7"/>
    <w:rsid w:val="009B49B8"/>
    <w:rsid w:val="009B4AF9"/>
    <w:rsid w:val="009B50E7"/>
    <w:rsid w:val="009B542A"/>
    <w:rsid w:val="009B5C3E"/>
    <w:rsid w:val="009B613B"/>
    <w:rsid w:val="009B6250"/>
    <w:rsid w:val="009B66A7"/>
    <w:rsid w:val="009B6A91"/>
    <w:rsid w:val="009B710B"/>
    <w:rsid w:val="009B7EC1"/>
    <w:rsid w:val="009C02BE"/>
    <w:rsid w:val="009C0504"/>
    <w:rsid w:val="009C0885"/>
    <w:rsid w:val="009C1243"/>
    <w:rsid w:val="009C15CC"/>
    <w:rsid w:val="009C1F95"/>
    <w:rsid w:val="009C1FBB"/>
    <w:rsid w:val="009C2236"/>
    <w:rsid w:val="009C25EC"/>
    <w:rsid w:val="009C27E0"/>
    <w:rsid w:val="009C28B3"/>
    <w:rsid w:val="009C3398"/>
    <w:rsid w:val="009C373F"/>
    <w:rsid w:val="009C39F2"/>
    <w:rsid w:val="009C3C4D"/>
    <w:rsid w:val="009C3C6D"/>
    <w:rsid w:val="009C40C1"/>
    <w:rsid w:val="009C52BC"/>
    <w:rsid w:val="009C5415"/>
    <w:rsid w:val="009C542F"/>
    <w:rsid w:val="009C54E0"/>
    <w:rsid w:val="009C56CA"/>
    <w:rsid w:val="009C58DF"/>
    <w:rsid w:val="009C5A43"/>
    <w:rsid w:val="009C5E0A"/>
    <w:rsid w:val="009C61B0"/>
    <w:rsid w:val="009C633C"/>
    <w:rsid w:val="009C6F4F"/>
    <w:rsid w:val="009C7085"/>
    <w:rsid w:val="009C7214"/>
    <w:rsid w:val="009C72ED"/>
    <w:rsid w:val="009C75F8"/>
    <w:rsid w:val="009C7EA2"/>
    <w:rsid w:val="009D0C7B"/>
    <w:rsid w:val="009D0CD2"/>
    <w:rsid w:val="009D0EA0"/>
    <w:rsid w:val="009D16D5"/>
    <w:rsid w:val="009D1933"/>
    <w:rsid w:val="009D1958"/>
    <w:rsid w:val="009D195B"/>
    <w:rsid w:val="009D1F32"/>
    <w:rsid w:val="009D2F0F"/>
    <w:rsid w:val="009D396B"/>
    <w:rsid w:val="009D3EC8"/>
    <w:rsid w:val="009D4479"/>
    <w:rsid w:val="009D4CF7"/>
    <w:rsid w:val="009D5458"/>
    <w:rsid w:val="009D5A29"/>
    <w:rsid w:val="009D6762"/>
    <w:rsid w:val="009D6BAB"/>
    <w:rsid w:val="009D721B"/>
    <w:rsid w:val="009D7673"/>
    <w:rsid w:val="009D7B51"/>
    <w:rsid w:val="009E06A8"/>
    <w:rsid w:val="009E07F4"/>
    <w:rsid w:val="009E1F4A"/>
    <w:rsid w:val="009E1FCF"/>
    <w:rsid w:val="009E21BA"/>
    <w:rsid w:val="009E21DA"/>
    <w:rsid w:val="009E230F"/>
    <w:rsid w:val="009E2382"/>
    <w:rsid w:val="009E28B7"/>
    <w:rsid w:val="009E2C1E"/>
    <w:rsid w:val="009E2CE3"/>
    <w:rsid w:val="009E2FAF"/>
    <w:rsid w:val="009E320C"/>
    <w:rsid w:val="009E33F5"/>
    <w:rsid w:val="009E392C"/>
    <w:rsid w:val="009E3C83"/>
    <w:rsid w:val="009E403F"/>
    <w:rsid w:val="009E44D5"/>
    <w:rsid w:val="009E540F"/>
    <w:rsid w:val="009E585B"/>
    <w:rsid w:val="009E5CED"/>
    <w:rsid w:val="009E5D62"/>
    <w:rsid w:val="009E61F1"/>
    <w:rsid w:val="009E664B"/>
    <w:rsid w:val="009E6B75"/>
    <w:rsid w:val="009E6BA6"/>
    <w:rsid w:val="009E6E8A"/>
    <w:rsid w:val="009E6F39"/>
    <w:rsid w:val="009E6F6B"/>
    <w:rsid w:val="009E76DE"/>
    <w:rsid w:val="009E7B2D"/>
    <w:rsid w:val="009F01E5"/>
    <w:rsid w:val="009F0333"/>
    <w:rsid w:val="009F0A7E"/>
    <w:rsid w:val="009F0DE8"/>
    <w:rsid w:val="009F11AA"/>
    <w:rsid w:val="009F1835"/>
    <w:rsid w:val="009F214F"/>
    <w:rsid w:val="009F3D71"/>
    <w:rsid w:val="009F41B6"/>
    <w:rsid w:val="009F44AE"/>
    <w:rsid w:val="009F48CA"/>
    <w:rsid w:val="009F4C4E"/>
    <w:rsid w:val="009F50D7"/>
    <w:rsid w:val="009F52DE"/>
    <w:rsid w:val="009F54C8"/>
    <w:rsid w:val="009F63F9"/>
    <w:rsid w:val="009F675D"/>
    <w:rsid w:val="009F68D8"/>
    <w:rsid w:val="009F6F11"/>
    <w:rsid w:val="009F7534"/>
    <w:rsid w:val="009F7BB2"/>
    <w:rsid w:val="00A00103"/>
    <w:rsid w:val="00A00212"/>
    <w:rsid w:val="00A0086A"/>
    <w:rsid w:val="00A0123E"/>
    <w:rsid w:val="00A013A9"/>
    <w:rsid w:val="00A017DA"/>
    <w:rsid w:val="00A019E6"/>
    <w:rsid w:val="00A01B74"/>
    <w:rsid w:val="00A01C44"/>
    <w:rsid w:val="00A020AE"/>
    <w:rsid w:val="00A029A4"/>
    <w:rsid w:val="00A030CD"/>
    <w:rsid w:val="00A03C7F"/>
    <w:rsid w:val="00A04654"/>
    <w:rsid w:val="00A049CD"/>
    <w:rsid w:val="00A05087"/>
    <w:rsid w:val="00A05AF6"/>
    <w:rsid w:val="00A06592"/>
    <w:rsid w:val="00A0660B"/>
    <w:rsid w:val="00A06945"/>
    <w:rsid w:val="00A06B69"/>
    <w:rsid w:val="00A074DD"/>
    <w:rsid w:val="00A07E8A"/>
    <w:rsid w:val="00A07EC0"/>
    <w:rsid w:val="00A10C8D"/>
    <w:rsid w:val="00A10D86"/>
    <w:rsid w:val="00A10E25"/>
    <w:rsid w:val="00A11518"/>
    <w:rsid w:val="00A11EE3"/>
    <w:rsid w:val="00A1218B"/>
    <w:rsid w:val="00A12994"/>
    <w:rsid w:val="00A12CB3"/>
    <w:rsid w:val="00A12F91"/>
    <w:rsid w:val="00A1348F"/>
    <w:rsid w:val="00A13A00"/>
    <w:rsid w:val="00A14246"/>
    <w:rsid w:val="00A1491D"/>
    <w:rsid w:val="00A14A35"/>
    <w:rsid w:val="00A15A3E"/>
    <w:rsid w:val="00A162BB"/>
    <w:rsid w:val="00A16847"/>
    <w:rsid w:val="00A1692F"/>
    <w:rsid w:val="00A17881"/>
    <w:rsid w:val="00A20669"/>
    <w:rsid w:val="00A20A88"/>
    <w:rsid w:val="00A210C6"/>
    <w:rsid w:val="00A21963"/>
    <w:rsid w:val="00A21F37"/>
    <w:rsid w:val="00A22293"/>
    <w:rsid w:val="00A22384"/>
    <w:rsid w:val="00A22AC4"/>
    <w:rsid w:val="00A238F7"/>
    <w:rsid w:val="00A24229"/>
    <w:rsid w:val="00A24573"/>
    <w:rsid w:val="00A24E05"/>
    <w:rsid w:val="00A24E92"/>
    <w:rsid w:val="00A25420"/>
    <w:rsid w:val="00A26314"/>
    <w:rsid w:val="00A26642"/>
    <w:rsid w:val="00A312F1"/>
    <w:rsid w:val="00A3152A"/>
    <w:rsid w:val="00A31C96"/>
    <w:rsid w:val="00A32074"/>
    <w:rsid w:val="00A330EB"/>
    <w:rsid w:val="00A3341C"/>
    <w:rsid w:val="00A33619"/>
    <w:rsid w:val="00A33797"/>
    <w:rsid w:val="00A33BDB"/>
    <w:rsid w:val="00A342DD"/>
    <w:rsid w:val="00A34602"/>
    <w:rsid w:val="00A348FC"/>
    <w:rsid w:val="00A34C30"/>
    <w:rsid w:val="00A367E4"/>
    <w:rsid w:val="00A3695F"/>
    <w:rsid w:val="00A36B2F"/>
    <w:rsid w:val="00A36CDC"/>
    <w:rsid w:val="00A376DA"/>
    <w:rsid w:val="00A37C6F"/>
    <w:rsid w:val="00A37E42"/>
    <w:rsid w:val="00A37E78"/>
    <w:rsid w:val="00A41574"/>
    <w:rsid w:val="00A41AF2"/>
    <w:rsid w:val="00A41C8F"/>
    <w:rsid w:val="00A41E95"/>
    <w:rsid w:val="00A42204"/>
    <w:rsid w:val="00A42643"/>
    <w:rsid w:val="00A42759"/>
    <w:rsid w:val="00A42C33"/>
    <w:rsid w:val="00A42C81"/>
    <w:rsid w:val="00A43819"/>
    <w:rsid w:val="00A43FFC"/>
    <w:rsid w:val="00A44A3E"/>
    <w:rsid w:val="00A45BD7"/>
    <w:rsid w:val="00A47C3C"/>
    <w:rsid w:val="00A47F86"/>
    <w:rsid w:val="00A518A4"/>
    <w:rsid w:val="00A51F93"/>
    <w:rsid w:val="00A5210C"/>
    <w:rsid w:val="00A526CB"/>
    <w:rsid w:val="00A52B0C"/>
    <w:rsid w:val="00A5309C"/>
    <w:rsid w:val="00A5316E"/>
    <w:rsid w:val="00A531F6"/>
    <w:rsid w:val="00A538BF"/>
    <w:rsid w:val="00A538E0"/>
    <w:rsid w:val="00A538FE"/>
    <w:rsid w:val="00A53EBC"/>
    <w:rsid w:val="00A53F4B"/>
    <w:rsid w:val="00A53FFB"/>
    <w:rsid w:val="00A55AB7"/>
    <w:rsid w:val="00A561E0"/>
    <w:rsid w:val="00A57A03"/>
    <w:rsid w:val="00A57B83"/>
    <w:rsid w:val="00A6090C"/>
    <w:rsid w:val="00A60B00"/>
    <w:rsid w:val="00A60C05"/>
    <w:rsid w:val="00A60EDF"/>
    <w:rsid w:val="00A612B6"/>
    <w:rsid w:val="00A61315"/>
    <w:rsid w:val="00A61D87"/>
    <w:rsid w:val="00A622DE"/>
    <w:rsid w:val="00A62A1D"/>
    <w:rsid w:val="00A62B20"/>
    <w:rsid w:val="00A63CE0"/>
    <w:rsid w:val="00A63D70"/>
    <w:rsid w:val="00A64825"/>
    <w:rsid w:val="00A64BED"/>
    <w:rsid w:val="00A64CE9"/>
    <w:rsid w:val="00A65452"/>
    <w:rsid w:val="00A66745"/>
    <w:rsid w:val="00A67CEE"/>
    <w:rsid w:val="00A70035"/>
    <w:rsid w:val="00A71F93"/>
    <w:rsid w:val="00A72393"/>
    <w:rsid w:val="00A72778"/>
    <w:rsid w:val="00A73604"/>
    <w:rsid w:val="00A7373A"/>
    <w:rsid w:val="00A747A5"/>
    <w:rsid w:val="00A750D9"/>
    <w:rsid w:val="00A764E1"/>
    <w:rsid w:val="00A773DC"/>
    <w:rsid w:val="00A77B68"/>
    <w:rsid w:val="00A815FC"/>
    <w:rsid w:val="00A82228"/>
    <w:rsid w:val="00A82497"/>
    <w:rsid w:val="00A82559"/>
    <w:rsid w:val="00A82981"/>
    <w:rsid w:val="00A8426A"/>
    <w:rsid w:val="00A84A32"/>
    <w:rsid w:val="00A8501B"/>
    <w:rsid w:val="00A851A9"/>
    <w:rsid w:val="00A86250"/>
    <w:rsid w:val="00A86305"/>
    <w:rsid w:val="00A865B7"/>
    <w:rsid w:val="00A86E3D"/>
    <w:rsid w:val="00A87640"/>
    <w:rsid w:val="00A87AF2"/>
    <w:rsid w:val="00A907EE"/>
    <w:rsid w:val="00A9084A"/>
    <w:rsid w:val="00A90D07"/>
    <w:rsid w:val="00A90F3E"/>
    <w:rsid w:val="00A915DD"/>
    <w:rsid w:val="00A91892"/>
    <w:rsid w:val="00A922FA"/>
    <w:rsid w:val="00A931A9"/>
    <w:rsid w:val="00A93AFD"/>
    <w:rsid w:val="00A93B83"/>
    <w:rsid w:val="00A93CD8"/>
    <w:rsid w:val="00A94094"/>
    <w:rsid w:val="00A94168"/>
    <w:rsid w:val="00A9459E"/>
    <w:rsid w:val="00A945B3"/>
    <w:rsid w:val="00A9465A"/>
    <w:rsid w:val="00A94B07"/>
    <w:rsid w:val="00A94F82"/>
    <w:rsid w:val="00A953A9"/>
    <w:rsid w:val="00A95575"/>
    <w:rsid w:val="00A9578F"/>
    <w:rsid w:val="00A958BD"/>
    <w:rsid w:val="00A95993"/>
    <w:rsid w:val="00A95DA0"/>
    <w:rsid w:val="00A961FA"/>
    <w:rsid w:val="00A963B6"/>
    <w:rsid w:val="00A9644D"/>
    <w:rsid w:val="00A96AE6"/>
    <w:rsid w:val="00A97464"/>
    <w:rsid w:val="00A97AA1"/>
    <w:rsid w:val="00A97D9C"/>
    <w:rsid w:val="00AA0C6F"/>
    <w:rsid w:val="00AA11B9"/>
    <w:rsid w:val="00AA1940"/>
    <w:rsid w:val="00AA1F2F"/>
    <w:rsid w:val="00AA25C6"/>
    <w:rsid w:val="00AA2A0A"/>
    <w:rsid w:val="00AA307B"/>
    <w:rsid w:val="00AA32BC"/>
    <w:rsid w:val="00AA364A"/>
    <w:rsid w:val="00AA3A54"/>
    <w:rsid w:val="00AA536F"/>
    <w:rsid w:val="00AA552A"/>
    <w:rsid w:val="00AA5748"/>
    <w:rsid w:val="00AA594C"/>
    <w:rsid w:val="00AA59F0"/>
    <w:rsid w:val="00AA5AAE"/>
    <w:rsid w:val="00AA5F32"/>
    <w:rsid w:val="00AA74A4"/>
    <w:rsid w:val="00AA7B28"/>
    <w:rsid w:val="00AA7EC0"/>
    <w:rsid w:val="00AB11C6"/>
    <w:rsid w:val="00AB25F5"/>
    <w:rsid w:val="00AB2F60"/>
    <w:rsid w:val="00AB39E2"/>
    <w:rsid w:val="00AB443F"/>
    <w:rsid w:val="00AB449E"/>
    <w:rsid w:val="00AB4B43"/>
    <w:rsid w:val="00AB5495"/>
    <w:rsid w:val="00AB5BC2"/>
    <w:rsid w:val="00AB5BE1"/>
    <w:rsid w:val="00AB6A63"/>
    <w:rsid w:val="00AB6BEA"/>
    <w:rsid w:val="00AB6F47"/>
    <w:rsid w:val="00AB7021"/>
    <w:rsid w:val="00AB70EE"/>
    <w:rsid w:val="00AB7941"/>
    <w:rsid w:val="00AC0464"/>
    <w:rsid w:val="00AC0BFE"/>
    <w:rsid w:val="00AC0F97"/>
    <w:rsid w:val="00AC13EE"/>
    <w:rsid w:val="00AC17D9"/>
    <w:rsid w:val="00AC2384"/>
    <w:rsid w:val="00AC2944"/>
    <w:rsid w:val="00AC2C89"/>
    <w:rsid w:val="00AC3BE1"/>
    <w:rsid w:val="00AC3EA7"/>
    <w:rsid w:val="00AC3F63"/>
    <w:rsid w:val="00AC4033"/>
    <w:rsid w:val="00AC46F6"/>
    <w:rsid w:val="00AC4849"/>
    <w:rsid w:val="00AC48B1"/>
    <w:rsid w:val="00AC4B5D"/>
    <w:rsid w:val="00AC5687"/>
    <w:rsid w:val="00AC5C0F"/>
    <w:rsid w:val="00AC5E04"/>
    <w:rsid w:val="00AC5FC8"/>
    <w:rsid w:val="00AC60CD"/>
    <w:rsid w:val="00AC618B"/>
    <w:rsid w:val="00AC662B"/>
    <w:rsid w:val="00AC6879"/>
    <w:rsid w:val="00AC6F7F"/>
    <w:rsid w:val="00AC724D"/>
    <w:rsid w:val="00AC7622"/>
    <w:rsid w:val="00AC7CFC"/>
    <w:rsid w:val="00AD04B1"/>
    <w:rsid w:val="00AD0BEE"/>
    <w:rsid w:val="00AD1587"/>
    <w:rsid w:val="00AD1788"/>
    <w:rsid w:val="00AD1816"/>
    <w:rsid w:val="00AD1834"/>
    <w:rsid w:val="00AD183A"/>
    <w:rsid w:val="00AD18FB"/>
    <w:rsid w:val="00AD1A23"/>
    <w:rsid w:val="00AD201C"/>
    <w:rsid w:val="00AD2602"/>
    <w:rsid w:val="00AD2670"/>
    <w:rsid w:val="00AD2CCC"/>
    <w:rsid w:val="00AD384F"/>
    <w:rsid w:val="00AD3C12"/>
    <w:rsid w:val="00AD409F"/>
    <w:rsid w:val="00AD4787"/>
    <w:rsid w:val="00AD49AD"/>
    <w:rsid w:val="00AD6320"/>
    <w:rsid w:val="00AD6A5A"/>
    <w:rsid w:val="00AD72CE"/>
    <w:rsid w:val="00AD7463"/>
    <w:rsid w:val="00AD76BD"/>
    <w:rsid w:val="00AD7BBC"/>
    <w:rsid w:val="00AE04D1"/>
    <w:rsid w:val="00AE06FE"/>
    <w:rsid w:val="00AE0B16"/>
    <w:rsid w:val="00AE1888"/>
    <w:rsid w:val="00AE1C4F"/>
    <w:rsid w:val="00AE228A"/>
    <w:rsid w:val="00AE2302"/>
    <w:rsid w:val="00AE2F10"/>
    <w:rsid w:val="00AE311F"/>
    <w:rsid w:val="00AE369F"/>
    <w:rsid w:val="00AE445C"/>
    <w:rsid w:val="00AE4E2C"/>
    <w:rsid w:val="00AE4F0E"/>
    <w:rsid w:val="00AE6467"/>
    <w:rsid w:val="00AE6668"/>
    <w:rsid w:val="00AE697D"/>
    <w:rsid w:val="00AE778D"/>
    <w:rsid w:val="00AF0947"/>
    <w:rsid w:val="00AF09C1"/>
    <w:rsid w:val="00AF0C92"/>
    <w:rsid w:val="00AF119D"/>
    <w:rsid w:val="00AF2873"/>
    <w:rsid w:val="00AF3423"/>
    <w:rsid w:val="00AF35C3"/>
    <w:rsid w:val="00AF43F7"/>
    <w:rsid w:val="00AF4DFA"/>
    <w:rsid w:val="00AF540E"/>
    <w:rsid w:val="00AF5922"/>
    <w:rsid w:val="00AF5C98"/>
    <w:rsid w:val="00AF5CD7"/>
    <w:rsid w:val="00AF5CF4"/>
    <w:rsid w:val="00AF638B"/>
    <w:rsid w:val="00AF69BB"/>
    <w:rsid w:val="00AF7303"/>
    <w:rsid w:val="00B00008"/>
    <w:rsid w:val="00B014C4"/>
    <w:rsid w:val="00B015F2"/>
    <w:rsid w:val="00B0171B"/>
    <w:rsid w:val="00B01BDF"/>
    <w:rsid w:val="00B01C79"/>
    <w:rsid w:val="00B01E04"/>
    <w:rsid w:val="00B02260"/>
    <w:rsid w:val="00B02ABF"/>
    <w:rsid w:val="00B031F8"/>
    <w:rsid w:val="00B040F9"/>
    <w:rsid w:val="00B0431A"/>
    <w:rsid w:val="00B04627"/>
    <w:rsid w:val="00B04CBB"/>
    <w:rsid w:val="00B04E00"/>
    <w:rsid w:val="00B05A40"/>
    <w:rsid w:val="00B06E53"/>
    <w:rsid w:val="00B0779A"/>
    <w:rsid w:val="00B07D1A"/>
    <w:rsid w:val="00B07F96"/>
    <w:rsid w:val="00B108BA"/>
    <w:rsid w:val="00B11C34"/>
    <w:rsid w:val="00B129B2"/>
    <w:rsid w:val="00B12CAE"/>
    <w:rsid w:val="00B141E3"/>
    <w:rsid w:val="00B149C7"/>
    <w:rsid w:val="00B1557F"/>
    <w:rsid w:val="00B16293"/>
    <w:rsid w:val="00B1648E"/>
    <w:rsid w:val="00B164DA"/>
    <w:rsid w:val="00B1772E"/>
    <w:rsid w:val="00B17CFB"/>
    <w:rsid w:val="00B20354"/>
    <w:rsid w:val="00B203D4"/>
    <w:rsid w:val="00B2041C"/>
    <w:rsid w:val="00B20888"/>
    <w:rsid w:val="00B20FB8"/>
    <w:rsid w:val="00B21224"/>
    <w:rsid w:val="00B217AE"/>
    <w:rsid w:val="00B21F02"/>
    <w:rsid w:val="00B22243"/>
    <w:rsid w:val="00B2229F"/>
    <w:rsid w:val="00B2278A"/>
    <w:rsid w:val="00B22C85"/>
    <w:rsid w:val="00B22EB0"/>
    <w:rsid w:val="00B2411F"/>
    <w:rsid w:val="00B24FA9"/>
    <w:rsid w:val="00B25B44"/>
    <w:rsid w:val="00B2629D"/>
    <w:rsid w:val="00B264B2"/>
    <w:rsid w:val="00B26983"/>
    <w:rsid w:val="00B26F17"/>
    <w:rsid w:val="00B2730C"/>
    <w:rsid w:val="00B307E5"/>
    <w:rsid w:val="00B30E9B"/>
    <w:rsid w:val="00B3111E"/>
    <w:rsid w:val="00B31281"/>
    <w:rsid w:val="00B313F3"/>
    <w:rsid w:val="00B3274D"/>
    <w:rsid w:val="00B32CA3"/>
    <w:rsid w:val="00B333C6"/>
    <w:rsid w:val="00B3363E"/>
    <w:rsid w:val="00B33BC6"/>
    <w:rsid w:val="00B33EBB"/>
    <w:rsid w:val="00B33FCA"/>
    <w:rsid w:val="00B34115"/>
    <w:rsid w:val="00B3445D"/>
    <w:rsid w:val="00B348FB"/>
    <w:rsid w:val="00B34989"/>
    <w:rsid w:val="00B35107"/>
    <w:rsid w:val="00B35BE4"/>
    <w:rsid w:val="00B35ECF"/>
    <w:rsid w:val="00B365B8"/>
    <w:rsid w:val="00B405C6"/>
    <w:rsid w:val="00B406D5"/>
    <w:rsid w:val="00B40936"/>
    <w:rsid w:val="00B40BA8"/>
    <w:rsid w:val="00B4130F"/>
    <w:rsid w:val="00B419DF"/>
    <w:rsid w:val="00B422B5"/>
    <w:rsid w:val="00B42436"/>
    <w:rsid w:val="00B428F5"/>
    <w:rsid w:val="00B429C4"/>
    <w:rsid w:val="00B43AF6"/>
    <w:rsid w:val="00B43D67"/>
    <w:rsid w:val="00B44042"/>
    <w:rsid w:val="00B4511B"/>
    <w:rsid w:val="00B453AA"/>
    <w:rsid w:val="00B453E7"/>
    <w:rsid w:val="00B45475"/>
    <w:rsid w:val="00B45D4F"/>
    <w:rsid w:val="00B45E86"/>
    <w:rsid w:val="00B466B5"/>
    <w:rsid w:val="00B46B62"/>
    <w:rsid w:val="00B46BF6"/>
    <w:rsid w:val="00B478CE"/>
    <w:rsid w:val="00B4794B"/>
    <w:rsid w:val="00B50049"/>
    <w:rsid w:val="00B5059C"/>
    <w:rsid w:val="00B50926"/>
    <w:rsid w:val="00B50A09"/>
    <w:rsid w:val="00B50DE5"/>
    <w:rsid w:val="00B5154C"/>
    <w:rsid w:val="00B51908"/>
    <w:rsid w:val="00B51A10"/>
    <w:rsid w:val="00B51D96"/>
    <w:rsid w:val="00B51FFA"/>
    <w:rsid w:val="00B52385"/>
    <w:rsid w:val="00B52EBD"/>
    <w:rsid w:val="00B530FF"/>
    <w:rsid w:val="00B5334E"/>
    <w:rsid w:val="00B55ADA"/>
    <w:rsid w:val="00B57344"/>
    <w:rsid w:val="00B5746F"/>
    <w:rsid w:val="00B57A0A"/>
    <w:rsid w:val="00B57A16"/>
    <w:rsid w:val="00B600D2"/>
    <w:rsid w:val="00B60578"/>
    <w:rsid w:val="00B608B0"/>
    <w:rsid w:val="00B60BDF"/>
    <w:rsid w:val="00B6141A"/>
    <w:rsid w:val="00B61CDD"/>
    <w:rsid w:val="00B6402B"/>
    <w:rsid w:val="00B64F7C"/>
    <w:rsid w:val="00B65000"/>
    <w:rsid w:val="00B6546A"/>
    <w:rsid w:val="00B658C3"/>
    <w:rsid w:val="00B65B27"/>
    <w:rsid w:val="00B65ECE"/>
    <w:rsid w:val="00B66215"/>
    <w:rsid w:val="00B662B9"/>
    <w:rsid w:val="00B6733D"/>
    <w:rsid w:val="00B70452"/>
    <w:rsid w:val="00B7071B"/>
    <w:rsid w:val="00B70845"/>
    <w:rsid w:val="00B7093D"/>
    <w:rsid w:val="00B710A1"/>
    <w:rsid w:val="00B717C0"/>
    <w:rsid w:val="00B71926"/>
    <w:rsid w:val="00B721F8"/>
    <w:rsid w:val="00B72795"/>
    <w:rsid w:val="00B72E75"/>
    <w:rsid w:val="00B73167"/>
    <w:rsid w:val="00B73E24"/>
    <w:rsid w:val="00B73EBF"/>
    <w:rsid w:val="00B743DD"/>
    <w:rsid w:val="00B74745"/>
    <w:rsid w:val="00B7476E"/>
    <w:rsid w:val="00B74E56"/>
    <w:rsid w:val="00B74EAF"/>
    <w:rsid w:val="00B75008"/>
    <w:rsid w:val="00B75727"/>
    <w:rsid w:val="00B75AE3"/>
    <w:rsid w:val="00B75C0B"/>
    <w:rsid w:val="00B76C29"/>
    <w:rsid w:val="00B7755A"/>
    <w:rsid w:val="00B77819"/>
    <w:rsid w:val="00B77A4B"/>
    <w:rsid w:val="00B80626"/>
    <w:rsid w:val="00B8081C"/>
    <w:rsid w:val="00B808E2"/>
    <w:rsid w:val="00B80FA7"/>
    <w:rsid w:val="00B816D9"/>
    <w:rsid w:val="00B816DE"/>
    <w:rsid w:val="00B8195B"/>
    <w:rsid w:val="00B82C22"/>
    <w:rsid w:val="00B82DED"/>
    <w:rsid w:val="00B83292"/>
    <w:rsid w:val="00B83312"/>
    <w:rsid w:val="00B8483F"/>
    <w:rsid w:val="00B85EAD"/>
    <w:rsid w:val="00B86CE1"/>
    <w:rsid w:val="00B87590"/>
    <w:rsid w:val="00B87D41"/>
    <w:rsid w:val="00B904DB"/>
    <w:rsid w:val="00B90605"/>
    <w:rsid w:val="00B90980"/>
    <w:rsid w:val="00B90B10"/>
    <w:rsid w:val="00B90C73"/>
    <w:rsid w:val="00B9152D"/>
    <w:rsid w:val="00B91FF7"/>
    <w:rsid w:val="00B92758"/>
    <w:rsid w:val="00B93255"/>
    <w:rsid w:val="00B939F3"/>
    <w:rsid w:val="00B94ACC"/>
    <w:rsid w:val="00B94C88"/>
    <w:rsid w:val="00B9544F"/>
    <w:rsid w:val="00B95A78"/>
    <w:rsid w:val="00B96117"/>
    <w:rsid w:val="00B977D2"/>
    <w:rsid w:val="00B978D5"/>
    <w:rsid w:val="00B97EA2"/>
    <w:rsid w:val="00B97F02"/>
    <w:rsid w:val="00BA15CE"/>
    <w:rsid w:val="00BA208A"/>
    <w:rsid w:val="00BA2AAF"/>
    <w:rsid w:val="00BA2E37"/>
    <w:rsid w:val="00BA3234"/>
    <w:rsid w:val="00BA3AAD"/>
    <w:rsid w:val="00BA3AE6"/>
    <w:rsid w:val="00BA3B3A"/>
    <w:rsid w:val="00BA48AA"/>
    <w:rsid w:val="00BA4BD3"/>
    <w:rsid w:val="00BA51A6"/>
    <w:rsid w:val="00BA5248"/>
    <w:rsid w:val="00BA6093"/>
    <w:rsid w:val="00BA654A"/>
    <w:rsid w:val="00BA6739"/>
    <w:rsid w:val="00BA69F9"/>
    <w:rsid w:val="00BB0B60"/>
    <w:rsid w:val="00BB0CC5"/>
    <w:rsid w:val="00BB1753"/>
    <w:rsid w:val="00BB1B80"/>
    <w:rsid w:val="00BB1B8C"/>
    <w:rsid w:val="00BB1F4F"/>
    <w:rsid w:val="00BB2138"/>
    <w:rsid w:val="00BB2144"/>
    <w:rsid w:val="00BB216D"/>
    <w:rsid w:val="00BB2DEE"/>
    <w:rsid w:val="00BB2FA9"/>
    <w:rsid w:val="00BB3A28"/>
    <w:rsid w:val="00BB3B86"/>
    <w:rsid w:val="00BB3C05"/>
    <w:rsid w:val="00BB3CDC"/>
    <w:rsid w:val="00BB454F"/>
    <w:rsid w:val="00BB46FC"/>
    <w:rsid w:val="00BB53EC"/>
    <w:rsid w:val="00BB5854"/>
    <w:rsid w:val="00BB6239"/>
    <w:rsid w:val="00BB7692"/>
    <w:rsid w:val="00BB7AD1"/>
    <w:rsid w:val="00BB7D46"/>
    <w:rsid w:val="00BB7DAE"/>
    <w:rsid w:val="00BC1929"/>
    <w:rsid w:val="00BC1F35"/>
    <w:rsid w:val="00BC240C"/>
    <w:rsid w:val="00BC309A"/>
    <w:rsid w:val="00BC37C6"/>
    <w:rsid w:val="00BC3977"/>
    <w:rsid w:val="00BC4749"/>
    <w:rsid w:val="00BC5866"/>
    <w:rsid w:val="00BC5CF6"/>
    <w:rsid w:val="00BC5D2E"/>
    <w:rsid w:val="00BC7660"/>
    <w:rsid w:val="00BD039C"/>
    <w:rsid w:val="00BD051F"/>
    <w:rsid w:val="00BD069E"/>
    <w:rsid w:val="00BD08D5"/>
    <w:rsid w:val="00BD1018"/>
    <w:rsid w:val="00BD149E"/>
    <w:rsid w:val="00BD1716"/>
    <w:rsid w:val="00BD1949"/>
    <w:rsid w:val="00BD1AFC"/>
    <w:rsid w:val="00BD29EA"/>
    <w:rsid w:val="00BD31F7"/>
    <w:rsid w:val="00BD3DD7"/>
    <w:rsid w:val="00BD4616"/>
    <w:rsid w:val="00BD56BA"/>
    <w:rsid w:val="00BD5D7B"/>
    <w:rsid w:val="00BD712A"/>
    <w:rsid w:val="00BE01B3"/>
    <w:rsid w:val="00BE0218"/>
    <w:rsid w:val="00BE08C7"/>
    <w:rsid w:val="00BE0951"/>
    <w:rsid w:val="00BE12D6"/>
    <w:rsid w:val="00BE1E3B"/>
    <w:rsid w:val="00BE2157"/>
    <w:rsid w:val="00BE23A3"/>
    <w:rsid w:val="00BE28C4"/>
    <w:rsid w:val="00BE2DEA"/>
    <w:rsid w:val="00BE394B"/>
    <w:rsid w:val="00BE39C0"/>
    <w:rsid w:val="00BE45AD"/>
    <w:rsid w:val="00BE550B"/>
    <w:rsid w:val="00BE5B20"/>
    <w:rsid w:val="00BE5DB8"/>
    <w:rsid w:val="00BE623D"/>
    <w:rsid w:val="00BE65B0"/>
    <w:rsid w:val="00BE7460"/>
    <w:rsid w:val="00BE7FBD"/>
    <w:rsid w:val="00BF0059"/>
    <w:rsid w:val="00BF133A"/>
    <w:rsid w:val="00BF2183"/>
    <w:rsid w:val="00BF2751"/>
    <w:rsid w:val="00BF3211"/>
    <w:rsid w:val="00BF3CD5"/>
    <w:rsid w:val="00BF3D18"/>
    <w:rsid w:val="00BF4090"/>
    <w:rsid w:val="00BF4626"/>
    <w:rsid w:val="00BF481B"/>
    <w:rsid w:val="00BF49F8"/>
    <w:rsid w:val="00BF4BCF"/>
    <w:rsid w:val="00BF4D30"/>
    <w:rsid w:val="00BF5758"/>
    <w:rsid w:val="00BF6192"/>
    <w:rsid w:val="00BF7D7C"/>
    <w:rsid w:val="00BF7DBC"/>
    <w:rsid w:val="00BF7E9E"/>
    <w:rsid w:val="00C00239"/>
    <w:rsid w:val="00C003F8"/>
    <w:rsid w:val="00C00651"/>
    <w:rsid w:val="00C006FC"/>
    <w:rsid w:val="00C015C1"/>
    <w:rsid w:val="00C01A51"/>
    <w:rsid w:val="00C03097"/>
    <w:rsid w:val="00C030DA"/>
    <w:rsid w:val="00C03197"/>
    <w:rsid w:val="00C03783"/>
    <w:rsid w:val="00C03A8F"/>
    <w:rsid w:val="00C0408E"/>
    <w:rsid w:val="00C0436D"/>
    <w:rsid w:val="00C04AB0"/>
    <w:rsid w:val="00C0501C"/>
    <w:rsid w:val="00C051C3"/>
    <w:rsid w:val="00C054BD"/>
    <w:rsid w:val="00C055D4"/>
    <w:rsid w:val="00C05852"/>
    <w:rsid w:val="00C058C6"/>
    <w:rsid w:val="00C070FB"/>
    <w:rsid w:val="00C07356"/>
    <w:rsid w:val="00C07593"/>
    <w:rsid w:val="00C07BAA"/>
    <w:rsid w:val="00C104DD"/>
    <w:rsid w:val="00C104FF"/>
    <w:rsid w:val="00C10855"/>
    <w:rsid w:val="00C10B7A"/>
    <w:rsid w:val="00C1139D"/>
    <w:rsid w:val="00C11DC7"/>
    <w:rsid w:val="00C1244D"/>
    <w:rsid w:val="00C1250C"/>
    <w:rsid w:val="00C12AD3"/>
    <w:rsid w:val="00C12EB5"/>
    <w:rsid w:val="00C12FDC"/>
    <w:rsid w:val="00C132CD"/>
    <w:rsid w:val="00C132D7"/>
    <w:rsid w:val="00C133E5"/>
    <w:rsid w:val="00C13822"/>
    <w:rsid w:val="00C14B12"/>
    <w:rsid w:val="00C14B43"/>
    <w:rsid w:val="00C15612"/>
    <w:rsid w:val="00C15D73"/>
    <w:rsid w:val="00C160D9"/>
    <w:rsid w:val="00C163D0"/>
    <w:rsid w:val="00C16849"/>
    <w:rsid w:val="00C17A19"/>
    <w:rsid w:val="00C21B52"/>
    <w:rsid w:val="00C21C7F"/>
    <w:rsid w:val="00C21E34"/>
    <w:rsid w:val="00C2221C"/>
    <w:rsid w:val="00C2234E"/>
    <w:rsid w:val="00C22935"/>
    <w:rsid w:val="00C22C08"/>
    <w:rsid w:val="00C22D67"/>
    <w:rsid w:val="00C23311"/>
    <w:rsid w:val="00C2342E"/>
    <w:rsid w:val="00C23E43"/>
    <w:rsid w:val="00C2539D"/>
    <w:rsid w:val="00C2590F"/>
    <w:rsid w:val="00C25DDE"/>
    <w:rsid w:val="00C25F9D"/>
    <w:rsid w:val="00C2690E"/>
    <w:rsid w:val="00C27540"/>
    <w:rsid w:val="00C2756B"/>
    <w:rsid w:val="00C3040B"/>
    <w:rsid w:val="00C30560"/>
    <w:rsid w:val="00C30F30"/>
    <w:rsid w:val="00C3106B"/>
    <w:rsid w:val="00C3121C"/>
    <w:rsid w:val="00C31780"/>
    <w:rsid w:val="00C31F87"/>
    <w:rsid w:val="00C32055"/>
    <w:rsid w:val="00C320DC"/>
    <w:rsid w:val="00C3285A"/>
    <w:rsid w:val="00C32F0A"/>
    <w:rsid w:val="00C33954"/>
    <w:rsid w:val="00C33A37"/>
    <w:rsid w:val="00C3634E"/>
    <w:rsid w:val="00C36355"/>
    <w:rsid w:val="00C37473"/>
    <w:rsid w:val="00C37484"/>
    <w:rsid w:val="00C37B64"/>
    <w:rsid w:val="00C37C7D"/>
    <w:rsid w:val="00C37D42"/>
    <w:rsid w:val="00C4067F"/>
    <w:rsid w:val="00C40D86"/>
    <w:rsid w:val="00C412CF"/>
    <w:rsid w:val="00C41867"/>
    <w:rsid w:val="00C42349"/>
    <w:rsid w:val="00C42746"/>
    <w:rsid w:val="00C42A49"/>
    <w:rsid w:val="00C42E16"/>
    <w:rsid w:val="00C42FEB"/>
    <w:rsid w:val="00C43F5A"/>
    <w:rsid w:val="00C456A4"/>
    <w:rsid w:val="00C45CA5"/>
    <w:rsid w:val="00C45DB3"/>
    <w:rsid w:val="00C4691F"/>
    <w:rsid w:val="00C46A8F"/>
    <w:rsid w:val="00C479D0"/>
    <w:rsid w:val="00C5035D"/>
    <w:rsid w:val="00C506EF"/>
    <w:rsid w:val="00C51771"/>
    <w:rsid w:val="00C519C1"/>
    <w:rsid w:val="00C523AD"/>
    <w:rsid w:val="00C525F9"/>
    <w:rsid w:val="00C527F2"/>
    <w:rsid w:val="00C52CE0"/>
    <w:rsid w:val="00C53D3B"/>
    <w:rsid w:val="00C54080"/>
    <w:rsid w:val="00C54785"/>
    <w:rsid w:val="00C55406"/>
    <w:rsid w:val="00C5574A"/>
    <w:rsid w:val="00C56165"/>
    <w:rsid w:val="00C56716"/>
    <w:rsid w:val="00C578C1"/>
    <w:rsid w:val="00C60F01"/>
    <w:rsid w:val="00C612A3"/>
    <w:rsid w:val="00C6177F"/>
    <w:rsid w:val="00C61E7E"/>
    <w:rsid w:val="00C61F60"/>
    <w:rsid w:val="00C62DEC"/>
    <w:rsid w:val="00C6364C"/>
    <w:rsid w:val="00C63E9A"/>
    <w:rsid w:val="00C63F55"/>
    <w:rsid w:val="00C64CEB"/>
    <w:rsid w:val="00C660FB"/>
    <w:rsid w:val="00C6668B"/>
    <w:rsid w:val="00C67318"/>
    <w:rsid w:val="00C67339"/>
    <w:rsid w:val="00C67500"/>
    <w:rsid w:val="00C67836"/>
    <w:rsid w:val="00C70304"/>
    <w:rsid w:val="00C7095C"/>
    <w:rsid w:val="00C71DD2"/>
    <w:rsid w:val="00C71EAF"/>
    <w:rsid w:val="00C72111"/>
    <w:rsid w:val="00C721F2"/>
    <w:rsid w:val="00C72660"/>
    <w:rsid w:val="00C726E9"/>
    <w:rsid w:val="00C728A1"/>
    <w:rsid w:val="00C73300"/>
    <w:rsid w:val="00C739C7"/>
    <w:rsid w:val="00C73E76"/>
    <w:rsid w:val="00C7431C"/>
    <w:rsid w:val="00C743A8"/>
    <w:rsid w:val="00C752D9"/>
    <w:rsid w:val="00C75607"/>
    <w:rsid w:val="00C75DE4"/>
    <w:rsid w:val="00C75EEC"/>
    <w:rsid w:val="00C7626D"/>
    <w:rsid w:val="00C7665B"/>
    <w:rsid w:val="00C81FA1"/>
    <w:rsid w:val="00C82C2A"/>
    <w:rsid w:val="00C82DE7"/>
    <w:rsid w:val="00C83130"/>
    <w:rsid w:val="00C8338D"/>
    <w:rsid w:val="00C835B0"/>
    <w:rsid w:val="00C839BA"/>
    <w:rsid w:val="00C841DF"/>
    <w:rsid w:val="00C846D9"/>
    <w:rsid w:val="00C84870"/>
    <w:rsid w:val="00C8528D"/>
    <w:rsid w:val="00C856D4"/>
    <w:rsid w:val="00C867BC"/>
    <w:rsid w:val="00C86838"/>
    <w:rsid w:val="00C86A78"/>
    <w:rsid w:val="00C86C73"/>
    <w:rsid w:val="00C874A8"/>
    <w:rsid w:val="00C9025C"/>
    <w:rsid w:val="00C9056D"/>
    <w:rsid w:val="00C90C85"/>
    <w:rsid w:val="00C9130B"/>
    <w:rsid w:val="00C91B15"/>
    <w:rsid w:val="00C91D4A"/>
    <w:rsid w:val="00C92D3E"/>
    <w:rsid w:val="00C92F87"/>
    <w:rsid w:val="00C93A0F"/>
    <w:rsid w:val="00C93BE0"/>
    <w:rsid w:val="00C93EE8"/>
    <w:rsid w:val="00C9499B"/>
    <w:rsid w:val="00C959D9"/>
    <w:rsid w:val="00C96049"/>
    <w:rsid w:val="00C96758"/>
    <w:rsid w:val="00C96DE6"/>
    <w:rsid w:val="00C96DF2"/>
    <w:rsid w:val="00CA0499"/>
    <w:rsid w:val="00CA0C97"/>
    <w:rsid w:val="00CA1109"/>
    <w:rsid w:val="00CA15EB"/>
    <w:rsid w:val="00CA1D90"/>
    <w:rsid w:val="00CA27F0"/>
    <w:rsid w:val="00CA2A22"/>
    <w:rsid w:val="00CA2B3C"/>
    <w:rsid w:val="00CA36A2"/>
    <w:rsid w:val="00CA39C6"/>
    <w:rsid w:val="00CA3DCD"/>
    <w:rsid w:val="00CA4121"/>
    <w:rsid w:val="00CA4A64"/>
    <w:rsid w:val="00CA4DB7"/>
    <w:rsid w:val="00CA5303"/>
    <w:rsid w:val="00CA5B2F"/>
    <w:rsid w:val="00CA5C73"/>
    <w:rsid w:val="00CA5DF8"/>
    <w:rsid w:val="00CA6390"/>
    <w:rsid w:val="00CA6743"/>
    <w:rsid w:val="00CA75F4"/>
    <w:rsid w:val="00CA7A1F"/>
    <w:rsid w:val="00CB068F"/>
    <w:rsid w:val="00CB0849"/>
    <w:rsid w:val="00CB0F06"/>
    <w:rsid w:val="00CB0F33"/>
    <w:rsid w:val="00CB14C0"/>
    <w:rsid w:val="00CB1B51"/>
    <w:rsid w:val="00CB1B54"/>
    <w:rsid w:val="00CB1D27"/>
    <w:rsid w:val="00CB20C2"/>
    <w:rsid w:val="00CB371E"/>
    <w:rsid w:val="00CB3BFD"/>
    <w:rsid w:val="00CB4051"/>
    <w:rsid w:val="00CB4BCF"/>
    <w:rsid w:val="00CB4DA1"/>
    <w:rsid w:val="00CB5513"/>
    <w:rsid w:val="00CB6F8E"/>
    <w:rsid w:val="00CB72E0"/>
    <w:rsid w:val="00CC1F83"/>
    <w:rsid w:val="00CC3B52"/>
    <w:rsid w:val="00CC407C"/>
    <w:rsid w:val="00CC47F8"/>
    <w:rsid w:val="00CC4A1C"/>
    <w:rsid w:val="00CC5240"/>
    <w:rsid w:val="00CC5D75"/>
    <w:rsid w:val="00CC5E3D"/>
    <w:rsid w:val="00CC6336"/>
    <w:rsid w:val="00CC6880"/>
    <w:rsid w:val="00CC6ACC"/>
    <w:rsid w:val="00CC6C07"/>
    <w:rsid w:val="00CC7831"/>
    <w:rsid w:val="00CD0096"/>
    <w:rsid w:val="00CD0468"/>
    <w:rsid w:val="00CD0FE1"/>
    <w:rsid w:val="00CD29AE"/>
    <w:rsid w:val="00CD3DCA"/>
    <w:rsid w:val="00CD47FF"/>
    <w:rsid w:val="00CD4D42"/>
    <w:rsid w:val="00CD5017"/>
    <w:rsid w:val="00CD52A1"/>
    <w:rsid w:val="00CD52A8"/>
    <w:rsid w:val="00CD599D"/>
    <w:rsid w:val="00CD63F3"/>
    <w:rsid w:val="00CD6446"/>
    <w:rsid w:val="00CD6A54"/>
    <w:rsid w:val="00CD6D44"/>
    <w:rsid w:val="00CD6DCA"/>
    <w:rsid w:val="00CD72D0"/>
    <w:rsid w:val="00CD7BEE"/>
    <w:rsid w:val="00CD7F3F"/>
    <w:rsid w:val="00CE0996"/>
    <w:rsid w:val="00CE0F00"/>
    <w:rsid w:val="00CE1E1E"/>
    <w:rsid w:val="00CE28A1"/>
    <w:rsid w:val="00CE295D"/>
    <w:rsid w:val="00CE345F"/>
    <w:rsid w:val="00CE3497"/>
    <w:rsid w:val="00CE42B1"/>
    <w:rsid w:val="00CE4C3E"/>
    <w:rsid w:val="00CE62F4"/>
    <w:rsid w:val="00CE6364"/>
    <w:rsid w:val="00CE6AC5"/>
    <w:rsid w:val="00CE6CB9"/>
    <w:rsid w:val="00CE6F26"/>
    <w:rsid w:val="00CE75A6"/>
    <w:rsid w:val="00CE764A"/>
    <w:rsid w:val="00CE79EE"/>
    <w:rsid w:val="00CF0758"/>
    <w:rsid w:val="00CF09D4"/>
    <w:rsid w:val="00CF0A5E"/>
    <w:rsid w:val="00CF1021"/>
    <w:rsid w:val="00CF11CF"/>
    <w:rsid w:val="00CF131F"/>
    <w:rsid w:val="00CF1326"/>
    <w:rsid w:val="00CF1432"/>
    <w:rsid w:val="00CF1E47"/>
    <w:rsid w:val="00CF1E94"/>
    <w:rsid w:val="00CF2347"/>
    <w:rsid w:val="00CF2367"/>
    <w:rsid w:val="00CF2FC6"/>
    <w:rsid w:val="00CF3C65"/>
    <w:rsid w:val="00CF4376"/>
    <w:rsid w:val="00CF480C"/>
    <w:rsid w:val="00CF5940"/>
    <w:rsid w:val="00CF6AB2"/>
    <w:rsid w:val="00CF6C93"/>
    <w:rsid w:val="00D01B4A"/>
    <w:rsid w:val="00D01BD4"/>
    <w:rsid w:val="00D02F35"/>
    <w:rsid w:val="00D03064"/>
    <w:rsid w:val="00D03E6E"/>
    <w:rsid w:val="00D04C58"/>
    <w:rsid w:val="00D05545"/>
    <w:rsid w:val="00D06097"/>
    <w:rsid w:val="00D071C4"/>
    <w:rsid w:val="00D0797D"/>
    <w:rsid w:val="00D07C85"/>
    <w:rsid w:val="00D103CE"/>
    <w:rsid w:val="00D1085E"/>
    <w:rsid w:val="00D120DF"/>
    <w:rsid w:val="00D1224E"/>
    <w:rsid w:val="00D12B6D"/>
    <w:rsid w:val="00D133EE"/>
    <w:rsid w:val="00D13D7F"/>
    <w:rsid w:val="00D143D0"/>
    <w:rsid w:val="00D14AFD"/>
    <w:rsid w:val="00D155CC"/>
    <w:rsid w:val="00D16929"/>
    <w:rsid w:val="00D16947"/>
    <w:rsid w:val="00D16A95"/>
    <w:rsid w:val="00D170B2"/>
    <w:rsid w:val="00D17F43"/>
    <w:rsid w:val="00D21FCD"/>
    <w:rsid w:val="00D22675"/>
    <w:rsid w:val="00D22A79"/>
    <w:rsid w:val="00D22C74"/>
    <w:rsid w:val="00D22DBD"/>
    <w:rsid w:val="00D232E6"/>
    <w:rsid w:val="00D23323"/>
    <w:rsid w:val="00D23367"/>
    <w:rsid w:val="00D23592"/>
    <w:rsid w:val="00D2372C"/>
    <w:rsid w:val="00D2377F"/>
    <w:rsid w:val="00D237EC"/>
    <w:rsid w:val="00D23A55"/>
    <w:rsid w:val="00D2401A"/>
    <w:rsid w:val="00D24103"/>
    <w:rsid w:val="00D25B53"/>
    <w:rsid w:val="00D25EA4"/>
    <w:rsid w:val="00D26228"/>
    <w:rsid w:val="00D263DD"/>
    <w:rsid w:val="00D266CC"/>
    <w:rsid w:val="00D27575"/>
    <w:rsid w:val="00D27C7D"/>
    <w:rsid w:val="00D315E0"/>
    <w:rsid w:val="00D31F4C"/>
    <w:rsid w:val="00D32519"/>
    <w:rsid w:val="00D329FD"/>
    <w:rsid w:val="00D33A0F"/>
    <w:rsid w:val="00D33A23"/>
    <w:rsid w:val="00D33B3C"/>
    <w:rsid w:val="00D33C63"/>
    <w:rsid w:val="00D33E9B"/>
    <w:rsid w:val="00D340A4"/>
    <w:rsid w:val="00D358B1"/>
    <w:rsid w:val="00D3599C"/>
    <w:rsid w:val="00D35DFD"/>
    <w:rsid w:val="00D3653E"/>
    <w:rsid w:val="00D36B1B"/>
    <w:rsid w:val="00D36B32"/>
    <w:rsid w:val="00D37736"/>
    <w:rsid w:val="00D40010"/>
    <w:rsid w:val="00D4002B"/>
    <w:rsid w:val="00D40254"/>
    <w:rsid w:val="00D40BA8"/>
    <w:rsid w:val="00D41217"/>
    <w:rsid w:val="00D41881"/>
    <w:rsid w:val="00D41ADF"/>
    <w:rsid w:val="00D41E54"/>
    <w:rsid w:val="00D42E89"/>
    <w:rsid w:val="00D42FEC"/>
    <w:rsid w:val="00D43125"/>
    <w:rsid w:val="00D43370"/>
    <w:rsid w:val="00D44008"/>
    <w:rsid w:val="00D44080"/>
    <w:rsid w:val="00D44564"/>
    <w:rsid w:val="00D44617"/>
    <w:rsid w:val="00D4501C"/>
    <w:rsid w:val="00D452A6"/>
    <w:rsid w:val="00D4539B"/>
    <w:rsid w:val="00D45440"/>
    <w:rsid w:val="00D45501"/>
    <w:rsid w:val="00D45FC3"/>
    <w:rsid w:val="00D466F6"/>
    <w:rsid w:val="00D46FBE"/>
    <w:rsid w:val="00D478A2"/>
    <w:rsid w:val="00D50470"/>
    <w:rsid w:val="00D513CE"/>
    <w:rsid w:val="00D515A9"/>
    <w:rsid w:val="00D5184B"/>
    <w:rsid w:val="00D52479"/>
    <w:rsid w:val="00D52949"/>
    <w:rsid w:val="00D52A38"/>
    <w:rsid w:val="00D52A96"/>
    <w:rsid w:val="00D52B0D"/>
    <w:rsid w:val="00D52C49"/>
    <w:rsid w:val="00D536C0"/>
    <w:rsid w:val="00D53BD4"/>
    <w:rsid w:val="00D54024"/>
    <w:rsid w:val="00D5413E"/>
    <w:rsid w:val="00D55086"/>
    <w:rsid w:val="00D55C70"/>
    <w:rsid w:val="00D56081"/>
    <w:rsid w:val="00D56B20"/>
    <w:rsid w:val="00D56D0F"/>
    <w:rsid w:val="00D56E57"/>
    <w:rsid w:val="00D57C5C"/>
    <w:rsid w:val="00D57D50"/>
    <w:rsid w:val="00D60025"/>
    <w:rsid w:val="00D61263"/>
    <w:rsid w:val="00D6158C"/>
    <w:rsid w:val="00D61683"/>
    <w:rsid w:val="00D626DB"/>
    <w:rsid w:val="00D63DB5"/>
    <w:rsid w:val="00D63E46"/>
    <w:rsid w:val="00D63E90"/>
    <w:rsid w:val="00D64AB8"/>
    <w:rsid w:val="00D65680"/>
    <w:rsid w:val="00D6592D"/>
    <w:rsid w:val="00D65C1C"/>
    <w:rsid w:val="00D672CE"/>
    <w:rsid w:val="00D67332"/>
    <w:rsid w:val="00D70376"/>
    <w:rsid w:val="00D704D3"/>
    <w:rsid w:val="00D7124E"/>
    <w:rsid w:val="00D716FD"/>
    <w:rsid w:val="00D71A7F"/>
    <w:rsid w:val="00D72166"/>
    <w:rsid w:val="00D72473"/>
    <w:rsid w:val="00D72B59"/>
    <w:rsid w:val="00D73146"/>
    <w:rsid w:val="00D73482"/>
    <w:rsid w:val="00D73526"/>
    <w:rsid w:val="00D738A4"/>
    <w:rsid w:val="00D738DF"/>
    <w:rsid w:val="00D7493B"/>
    <w:rsid w:val="00D75A65"/>
    <w:rsid w:val="00D75BB0"/>
    <w:rsid w:val="00D76F9D"/>
    <w:rsid w:val="00D77146"/>
    <w:rsid w:val="00D77469"/>
    <w:rsid w:val="00D77A96"/>
    <w:rsid w:val="00D80283"/>
    <w:rsid w:val="00D80C88"/>
    <w:rsid w:val="00D81C2A"/>
    <w:rsid w:val="00D81FF0"/>
    <w:rsid w:val="00D82193"/>
    <w:rsid w:val="00D82F32"/>
    <w:rsid w:val="00D83739"/>
    <w:rsid w:val="00D83872"/>
    <w:rsid w:val="00D83914"/>
    <w:rsid w:val="00D83AD2"/>
    <w:rsid w:val="00D83C96"/>
    <w:rsid w:val="00D8410A"/>
    <w:rsid w:val="00D8444A"/>
    <w:rsid w:val="00D84E20"/>
    <w:rsid w:val="00D85114"/>
    <w:rsid w:val="00D8653A"/>
    <w:rsid w:val="00D86591"/>
    <w:rsid w:val="00D86750"/>
    <w:rsid w:val="00D87923"/>
    <w:rsid w:val="00D90DE0"/>
    <w:rsid w:val="00D92413"/>
    <w:rsid w:val="00D9269D"/>
    <w:rsid w:val="00D92E6A"/>
    <w:rsid w:val="00D93593"/>
    <w:rsid w:val="00D9365A"/>
    <w:rsid w:val="00D93DEA"/>
    <w:rsid w:val="00D9456A"/>
    <w:rsid w:val="00D947C0"/>
    <w:rsid w:val="00D9534A"/>
    <w:rsid w:val="00D959D1"/>
    <w:rsid w:val="00D95D97"/>
    <w:rsid w:val="00D95E12"/>
    <w:rsid w:val="00D96078"/>
    <w:rsid w:val="00D96CD3"/>
    <w:rsid w:val="00D96EC2"/>
    <w:rsid w:val="00D96FF6"/>
    <w:rsid w:val="00D9720E"/>
    <w:rsid w:val="00D974EE"/>
    <w:rsid w:val="00D9795D"/>
    <w:rsid w:val="00D97FF6"/>
    <w:rsid w:val="00DA04F5"/>
    <w:rsid w:val="00DA05A3"/>
    <w:rsid w:val="00DA0BF5"/>
    <w:rsid w:val="00DA1A96"/>
    <w:rsid w:val="00DA2180"/>
    <w:rsid w:val="00DA3226"/>
    <w:rsid w:val="00DA3569"/>
    <w:rsid w:val="00DA3B77"/>
    <w:rsid w:val="00DA4052"/>
    <w:rsid w:val="00DA470A"/>
    <w:rsid w:val="00DA4A0D"/>
    <w:rsid w:val="00DA6262"/>
    <w:rsid w:val="00DA6ADB"/>
    <w:rsid w:val="00DA6AFA"/>
    <w:rsid w:val="00DA75FA"/>
    <w:rsid w:val="00DA7770"/>
    <w:rsid w:val="00DB000A"/>
    <w:rsid w:val="00DB036A"/>
    <w:rsid w:val="00DB036E"/>
    <w:rsid w:val="00DB0B5D"/>
    <w:rsid w:val="00DB0D75"/>
    <w:rsid w:val="00DB0DAF"/>
    <w:rsid w:val="00DB1B3A"/>
    <w:rsid w:val="00DB1E41"/>
    <w:rsid w:val="00DB1E91"/>
    <w:rsid w:val="00DB21DD"/>
    <w:rsid w:val="00DB2DB7"/>
    <w:rsid w:val="00DB3118"/>
    <w:rsid w:val="00DB3A16"/>
    <w:rsid w:val="00DB3E4B"/>
    <w:rsid w:val="00DB40C9"/>
    <w:rsid w:val="00DB5938"/>
    <w:rsid w:val="00DB66B1"/>
    <w:rsid w:val="00DB791F"/>
    <w:rsid w:val="00DC0211"/>
    <w:rsid w:val="00DC0301"/>
    <w:rsid w:val="00DC04D7"/>
    <w:rsid w:val="00DC0F38"/>
    <w:rsid w:val="00DC1660"/>
    <w:rsid w:val="00DC23C2"/>
    <w:rsid w:val="00DC27E3"/>
    <w:rsid w:val="00DC2C7B"/>
    <w:rsid w:val="00DC2E51"/>
    <w:rsid w:val="00DC2F9C"/>
    <w:rsid w:val="00DC3E70"/>
    <w:rsid w:val="00DC3EE2"/>
    <w:rsid w:val="00DC4A96"/>
    <w:rsid w:val="00DC4CD0"/>
    <w:rsid w:val="00DC51CF"/>
    <w:rsid w:val="00DC657B"/>
    <w:rsid w:val="00DC7026"/>
    <w:rsid w:val="00DC7DDB"/>
    <w:rsid w:val="00DD0307"/>
    <w:rsid w:val="00DD1398"/>
    <w:rsid w:val="00DD1651"/>
    <w:rsid w:val="00DD2652"/>
    <w:rsid w:val="00DD28DD"/>
    <w:rsid w:val="00DD2BA9"/>
    <w:rsid w:val="00DD3BFF"/>
    <w:rsid w:val="00DD46D3"/>
    <w:rsid w:val="00DD4BCE"/>
    <w:rsid w:val="00DD4FA8"/>
    <w:rsid w:val="00DD50EB"/>
    <w:rsid w:val="00DD557C"/>
    <w:rsid w:val="00DD5B10"/>
    <w:rsid w:val="00DD5DF1"/>
    <w:rsid w:val="00DD693D"/>
    <w:rsid w:val="00DD7056"/>
    <w:rsid w:val="00DD723C"/>
    <w:rsid w:val="00DD72E1"/>
    <w:rsid w:val="00DD74C4"/>
    <w:rsid w:val="00DD79AB"/>
    <w:rsid w:val="00DD7D38"/>
    <w:rsid w:val="00DE0AC1"/>
    <w:rsid w:val="00DE0B81"/>
    <w:rsid w:val="00DE11F0"/>
    <w:rsid w:val="00DE1C93"/>
    <w:rsid w:val="00DE29A1"/>
    <w:rsid w:val="00DE2CA7"/>
    <w:rsid w:val="00DE31C1"/>
    <w:rsid w:val="00DE3A18"/>
    <w:rsid w:val="00DE4E20"/>
    <w:rsid w:val="00DE56E6"/>
    <w:rsid w:val="00DE577B"/>
    <w:rsid w:val="00DE5A63"/>
    <w:rsid w:val="00DE65CF"/>
    <w:rsid w:val="00DE6A65"/>
    <w:rsid w:val="00DE77C9"/>
    <w:rsid w:val="00DE7CE4"/>
    <w:rsid w:val="00DF0305"/>
    <w:rsid w:val="00DF07F5"/>
    <w:rsid w:val="00DF14EE"/>
    <w:rsid w:val="00DF1BE8"/>
    <w:rsid w:val="00DF1DF4"/>
    <w:rsid w:val="00DF1E01"/>
    <w:rsid w:val="00DF21ED"/>
    <w:rsid w:val="00DF294D"/>
    <w:rsid w:val="00DF2C9B"/>
    <w:rsid w:val="00DF2F07"/>
    <w:rsid w:val="00DF31A1"/>
    <w:rsid w:val="00DF31E6"/>
    <w:rsid w:val="00DF37D1"/>
    <w:rsid w:val="00DF4564"/>
    <w:rsid w:val="00DF457F"/>
    <w:rsid w:val="00DF45CA"/>
    <w:rsid w:val="00DF5034"/>
    <w:rsid w:val="00DF68A0"/>
    <w:rsid w:val="00DF7362"/>
    <w:rsid w:val="00DF766C"/>
    <w:rsid w:val="00E003DB"/>
    <w:rsid w:val="00E00F46"/>
    <w:rsid w:val="00E02244"/>
    <w:rsid w:val="00E022AC"/>
    <w:rsid w:val="00E02660"/>
    <w:rsid w:val="00E02746"/>
    <w:rsid w:val="00E02B1E"/>
    <w:rsid w:val="00E02D73"/>
    <w:rsid w:val="00E02E9E"/>
    <w:rsid w:val="00E03EC6"/>
    <w:rsid w:val="00E03FA3"/>
    <w:rsid w:val="00E04651"/>
    <w:rsid w:val="00E046C1"/>
    <w:rsid w:val="00E04CB6"/>
    <w:rsid w:val="00E05010"/>
    <w:rsid w:val="00E05AD9"/>
    <w:rsid w:val="00E062F7"/>
    <w:rsid w:val="00E07512"/>
    <w:rsid w:val="00E076BE"/>
    <w:rsid w:val="00E07905"/>
    <w:rsid w:val="00E07BDC"/>
    <w:rsid w:val="00E10DF7"/>
    <w:rsid w:val="00E11F25"/>
    <w:rsid w:val="00E12CCF"/>
    <w:rsid w:val="00E13393"/>
    <w:rsid w:val="00E13525"/>
    <w:rsid w:val="00E13A22"/>
    <w:rsid w:val="00E13DDB"/>
    <w:rsid w:val="00E15AEA"/>
    <w:rsid w:val="00E15B23"/>
    <w:rsid w:val="00E160D2"/>
    <w:rsid w:val="00E1659C"/>
    <w:rsid w:val="00E168C5"/>
    <w:rsid w:val="00E168E2"/>
    <w:rsid w:val="00E17166"/>
    <w:rsid w:val="00E17E9D"/>
    <w:rsid w:val="00E20194"/>
    <w:rsid w:val="00E21065"/>
    <w:rsid w:val="00E2131E"/>
    <w:rsid w:val="00E2149E"/>
    <w:rsid w:val="00E2166C"/>
    <w:rsid w:val="00E21A21"/>
    <w:rsid w:val="00E21C87"/>
    <w:rsid w:val="00E21EF5"/>
    <w:rsid w:val="00E22C20"/>
    <w:rsid w:val="00E22FE1"/>
    <w:rsid w:val="00E232BC"/>
    <w:rsid w:val="00E2330B"/>
    <w:rsid w:val="00E244DF"/>
    <w:rsid w:val="00E24519"/>
    <w:rsid w:val="00E25A74"/>
    <w:rsid w:val="00E25D17"/>
    <w:rsid w:val="00E25E6C"/>
    <w:rsid w:val="00E2604B"/>
    <w:rsid w:val="00E260E0"/>
    <w:rsid w:val="00E26204"/>
    <w:rsid w:val="00E26518"/>
    <w:rsid w:val="00E26693"/>
    <w:rsid w:val="00E27B39"/>
    <w:rsid w:val="00E27B73"/>
    <w:rsid w:val="00E27CB9"/>
    <w:rsid w:val="00E30129"/>
    <w:rsid w:val="00E314B8"/>
    <w:rsid w:val="00E31899"/>
    <w:rsid w:val="00E318B1"/>
    <w:rsid w:val="00E33269"/>
    <w:rsid w:val="00E332C1"/>
    <w:rsid w:val="00E33776"/>
    <w:rsid w:val="00E34445"/>
    <w:rsid w:val="00E34B0F"/>
    <w:rsid w:val="00E35739"/>
    <w:rsid w:val="00E358B4"/>
    <w:rsid w:val="00E35B35"/>
    <w:rsid w:val="00E36D6F"/>
    <w:rsid w:val="00E37985"/>
    <w:rsid w:val="00E4025F"/>
    <w:rsid w:val="00E40262"/>
    <w:rsid w:val="00E4038A"/>
    <w:rsid w:val="00E40678"/>
    <w:rsid w:val="00E416CA"/>
    <w:rsid w:val="00E41DCE"/>
    <w:rsid w:val="00E41E97"/>
    <w:rsid w:val="00E42210"/>
    <w:rsid w:val="00E42ACB"/>
    <w:rsid w:val="00E430F6"/>
    <w:rsid w:val="00E43CD4"/>
    <w:rsid w:val="00E43DE4"/>
    <w:rsid w:val="00E43E4E"/>
    <w:rsid w:val="00E445F6"/>
    <w:rsid w:val="00E45786"/>
    <w:rsid w:val="00E45935"/>
    <w:rsid w:val="00E45A21"/>
    <w:rsid w:val="00E460B3"/>
    <w:rsid w:val="00E46835"/>
    <w:rsid w:val="00E46B32"/>
    <w:rsid w:val="00E47399"/>
    <w:rsid w:val="00E47A1E"/>
    <w:rsid w:val="00E50629"/>
    <w:rsid w:val="00E50C0A"/>
    <w:rsid w:val="00E51274"/>
    <w:rsid w:val="00E51617"/>
    <w:rsid w:val="00E51633"/>
    <w:rsid w:val="00E51E8E"/>
    <w:rsid w:val="00E51F7D"/>
    <w:rsid w:val="00E52130"/>
    <w:rsid w:val="00E525B9"/>
    <w:rsid w:val="00E52C55"/>
    <w:rsid w:val="00E52D81"/>
    <w:rsid w:val="00E52FD3"/>
    <w:rsid w:val="00E53BF4"/>
    <w:rsid w:val="00E54063"/>
    <w:rsid w:val="00E54275"/>
    <w:rsid w:val="00E546C6"/>
    <w:rsid w:val="00E54C57"/>
    <w:rsid w:val="00E54FD1"/>
    <w:rsid w:val="00E559D6"/>
    <w:rsid w:val="00E55AD8"/>
    <w:rsid w:val="00E55D8E"/>
    <w:rsid w:val="00E56265"/>
    <w:rsid w:val="00E56280"/>
    <w:rsid w:val="00E57368"/>
    <w:rsid w:val="00E574A8"/>
    <w:rsid w:val="00E57A5F"/>
    <w:rsid w:val="00E57FCC"/>
    <w:rsid w:val="00E605B1"/>
    <w:rsid w:val="00E60C6F"/>
    <w:rsid w:val="00E60D67"/>
    <w:rsid w:val="00E60FFC"/>
    <w:rsid w:val="00E61E8F"/>
    <w:rsid w:val="00E624F8"/>
    <w:rsid w:val="00E6284B"/>
    <w:rsid w:val="00E62957"/>
    <w:rsid w:val="00E62FD0"/>
    <w:rsid w:val="00E64C9C"/>
    <w:rsid w:val="00E654A5"/>
    <w:rsid w:val="00E660D4"/>
    <w:rsid w:val="00E66879"/>
    <w:rsid w:val="00E669A8"/>
    <w:rsid w:val="00E66F5F"/>
    <w:rsid w:val="00E66FB7"/>
    <w:rsid w:val="00E67170"/>
    <w:rsid w:val="00E672BD"/>
    <w:rsid w:val="00E674DA"/>
    <w:rsid w:val="00E67FC1"/>
    <w:rsid w:val="00E67FD5"/>
    <w:rsid w:val="00E715C3"/>
    <w:rsid w:val="00E71664"/>
    <w:rsid w:val="00E71BEC"/>
    <w:rsid w:val="00E721EE"/>
    <w:rsid w:val="00E723BA"/>
    <w:rsid w:val="00E7248C"/>
    <w:rsid w:val="00E73C04"/>
    <w:rsid w:val="00E7413C"/>
    <w:rsid w:val="00E74221"/>
    <w:rsid w:val="00E7444A"/>
    <w:rsid w:val="00E745A4"/>
    <w:rsid w:val="00E75352"/>
    <w:rsid w:val="00E7688C"/>
    <w:rsid w:val="00E76E78"/>
    <w:rsid w:val="00E77910"/>
    <w:rsid w:val="00E77BBC"/>
    <w:rsid w:val="00E77DBF"/>
    <w:rsid w:val="00E814A4"/>
    <w:rsid w:val="00E81720"/>
    <w:rsid w:val="00E82139"/>
    <w:rsid w:val="00E8233E"/>
    <w:rsid w:val="00E8246A"/>
    <w:rsid w:val="00E82A07"/>
    <w:rsid w:val="00E82D4E"/>
    <w:rsid w:val="00E83404"/>
    <w:rsid w:val="00E83B36"/>
    <w:rsid w:val="00E84198"/>
    <w:rsid w:val="00E84F42"/>
    <w:rsid w:val="00E856F4"/>
    <w:rsid w:val="00E85B1A"/>
    <w:rsid w:val="00E863F1"/>
    <w:rsid w:val="00E86A70"/>
    <w:rsid w:val="00E86CD4"/>
    <w:rsid w:val="00E86D52"/>
    <w:rsid w:val="00E8752E"/>
    <w:rsid w:val="00E877CE"/>
    <w:rsid w:val="00E87C19"/>
    <w:rsid w:val="00E87F84"/>
    <w:rsid w:val="00E90E40"/>
    <w:rsid w:val="00E91518"/>
    <w:rsid w:val="00E9176C"/>
    <w:rsid w:val="00E91957"/>
    <w:rsid w:val="00E91C5B"/>
    <w:rsid w:val="00E91FC0"/>
    <w:rsid w:val="00E925D7"/>
    <w:rsid w:val="00E93093"/>
    <w:rsid w:val="00E9522B"/>
    <w:rsid w:val="00E956C6"/>
    <w:rsid w:val="00E95D2A"/>
    <w:rsid w:val="00E96209"/>
    <w:rsid w:val="00E96524"/>
    <w:rsid w:val="00E96B8C"/>
    <w:rsid w:val="00E96E76"/>
    <w:rsid w:val="00E96F29"/>
    <w:rsid w:val="00E97816"/>
    <w:rsid w:val="00E97BB3"/>
    <w:rsid w:val="00EA02EA"/>
    <w:rsid w:val="00EA0C18"/>
    <w:rsid w:val="00EA1024"/>
    <w:rsid w:val="00EA159B"/>
    <w:rsid w:val="00EA192E"/>
    <w:rsid w:val="00EA2393"/>
    <w:rsid w:val="00EA2834"/>
    <w:rsid w:val="00EA287A"/>
    <w:rsid w:val="00EA2F00"/>
    <w:rsid w:val="00EA44A9"/>
    <w:rsid w:val="00EA4777"/>
    <w:rsid w:val="00EA493C"/>
    <w:rsid w:val="00EA4DBD"/>
    <w:rsid w:val="00EA5A20"/>
    <w:rsid w:val="00EA5AE8"/>
    <w:rsid w:val="00EA5CAE"/>
    <w:rsid w:val="00EA644F"/>
    <w:rsid w:val="00EA6BF9"/>
    <w:rsid w:val="00EA6C02"/>
    <w:rsid w:val="00EA7340"/>
    <w:rsid w:val="00EB240F"/>
    <w:rsid w:val="00EB2D2C"/>
    <w:rsid w:val="00EB323B"/>
    <w:rsid w:val="00EB3325"/>
    <w:rsid w:val="00EB3BF0"/>
    <w:rsid w:val="00EB447B"/>
    <w:rsid w:val="00EB4588"/>
    <w:rsid w:val="00EB48F2"/>
    <w:rsid w:val="00EB565C"/>
    <w:rsid w:val="00EB5864"/>
    <w:rsid w:val="00EB5C43"/>
    <w:rsid w:val="00EB612B"/>
    <w:rsid w:val="00EB62C3"/>
    <w:rsid w:val="00EB67E9"/>
    <w:rsid w:val="00EB6A0F"/>
    <w:rsid w:val="00EB6AA2"/>
    <w:rsid w:val="00EB6D4B"/>
    <w:rsid w:val="00EB6FA4"/>
    <w:rsid w:val="00EB7E89"/>
    <w:rsid w:val="00EC0296"/>
    <w:rsid w:val="00EC0377"/>
    <w:rsid w:val="00EC08B4"/>
    <w:rsid w:val="00EC0EEE"/>
    <w:rsid w:val="00EC17B7"/>
    <w:rsid w:val="00EC1F38"/>
    <w:rsid w:val="00EC224C"/>
    <w:rsid w:val="00EC2BE5"/>
    <w:rsid w:val="00EC3031"/>
    <w:rsid w:val="00EC3173"/>
    <w:rsid w:val="00EC356B"/>
    <w:rsid w:val="00EC3D95"/>
    <w:rsid w:val="00EC408E"/>
    <w:rsid w:val="00EC42E5"/>
    <w:rsid w:val="00EC47EF"/>
    <w:rsid w:val="00EC4C03"/>
    <w:rsid w:val="00EC568C"/>
    <w:rsid w:val="00EC6BC3"/>
    <w:rsid w:val="00EC72CE"/>
    <w:rsid w:val="00EC7F7D"/>
    <w:rsid w:val="00ED025B"/>
    <w:rsid w:val="00ED07B8"/>
    <w:rsid w:val="00ED09E5"/>
    <w:rsid w:val="00ED1AA1"/>
    <w:rsid w:val="00ED2E35"/>
    <w:rsid w:val="00ED333F"/>
    <w:rsid w:val="00ED41CE"/>
    <w:rsid w:val="00ED45C2"/>
    <w:rsid w:val="00ED4915"/>
    <w:rsid w:val="00ED5A22"/>
    <w:rsid w:val="00ED697E"/>
    <w:rsid w:val="00ED6B94"/>
    <w:rsid w:val="00ED6C9B"/>
    <w:rsid w:val="00EE07C1"/>
    <w:rsid w:val="00EE0C24"/>
    <w:rsid w:val="00EE0EBC"/>
    <w:rsid w:val="00EE16D5"/>
    <w:rsid w:val="00EE1A60"/>
    <w:rsid w:val="00EE1EEB"/>
    <w:rsid w:val="00EE281E"/>
    <w:rsid w:val="00EE29F7"/>
    <w:rsid w:val="00EE2A07"/>
    <w:rsid w:val="00EE2C2F"/>
    <w:rsid w:val="00EE2E50"/>
    <w:rsid w:val="00EE2F72"/>
    <w:rsid w:val="00EE33E5"/>
    <w:rsid w:val="00EE34D3"/>
    <w:rsid w:val="00EE3B49"/>
    <w:rsid w:val="00EE3B4D"/>
    <w:rsid w:val="00EE3BF5"/>
    <w:rsid w:val="00EE471A"/>
    <w:rsid w:val="00EE5265"/>
    <w:rsid w:val="00EE545E"/>
    <w:rsid w:val="00EE5ADE"/>
    <w:rsid w:val="00EE6079"/>
    <w:rsid w:val="00EE691A"/>
    <w:rsid w:val="00EE6BF6"/>
    <w:rsid w:val="00EE791B"/>
    <w:rsid w:val="00EE7EFF"/>
    <w:rsid w:val="00EE7F81"/>
    <w:rsid w:val="00EF09BB"/>
    <w:rsid w:val="00EF0D2A"/>
    <w:rsid w:val="00EF0F45"/>
    <w:rsid w:val="00EF1432"/>
    <w:rsid w:val="00EF18F4"/>
    <w:rsid w:val="00EF1D75"/>
    <w:rsid w:val="00EF27C8"/>
    <w:rsid w:val="00EF2E23"/>
    <w:rsid w:val="00EF2E29"/>
    <w:rsid w:val="00EF3121"/>
    <w:rsid w:val="00EF3233"/>
    <w:rsid w:val="00EF3558"/>
    <w:rsid w:val="00EF3C38"/>
    <w:rsid w:val="00EF4ECE"/>
    <w:rsid w:val="00EF57E5"/>
    <w:rsid w:val="00EF5AF6"/>
    <w:rsid w:val="00EF5DCD"/>
    <w:rsid w:val="00EF60BF"/>
    <w:rsid w:val="00EF73E6"/>
    <w:rsid w:val="00EF7715"/>
    <w:rsid w:val="00F00099"/>
    <w:rsid w:val="00F0020B"/>
    <w:rsid w:val="00F01190"/>
    <w:rsid w:val="00F0176E"/>
    <w:rsid w:val="00F02029"/>
    <w:rsid w:val="00F02118"/>
    <w:rsid w:val="00F02A82"/>
    <w:rsid w:val="00F02E72"/>
    <w:rsid w:val="00F0352D"/>
    <w:rsid w:val="00F03795"/>
    <w:rsid w:val="00F05295"/>
    <w:rsid w:val="00F05BF3"/>
    <w:rsid w:val="00F05E80"/>
    <w:rsid w:val="00F06FC5"/>
    <w:rsid w:val="00F0745F"/>
    <w:rsid w:val="00F10EC1"/>
    <w:rsid w:val="00F10EFE"/>
    <w:rsid w:val="00F11CE0"/>
    <w:rsid w:val="00F1206E"/>
    <w:rsid w:val="00F126DB"/>
    <w:rsid w:val="00F127AE"/>
    <w:rsid w:val="00F12C4B"/>
    <w:rsid w:val="00F12C54"/>
    <w:rsid w:val="00F12FA6"/>
    <w:rsid w:val="00F13C03"/>
    <w:rsid w:val="00F143B4"/>
    <w:rsid w:val="00F143E3"/>
    <w:rsid w:val="00F14AF9"/>
    <w:rsid w:val="00F14B90"/>
    <w:rsid w:val="00F14C68"/>
    <w:rsid w:val="00F1556F"/>
    <w:rsid w:val="00F1623E"/>
    <w:rsid w:val="00F1687D"/>
    <w:rsid w:val="00F16A60"/>
    <w:rsid w:val="00F20498"/>
    <w:rsid w:val="00F20EEF"/>
    <w:rsid w:val="00F21253"/>
    <w:rsid w:val="00F216DF"/>
    <w:rsid w:val="00F21BCD"/>
    <w:rsid w:val="00F222B8"/>
    <w:rsid w:val="00F22E01"/>
    <w:rsid w:val="00F235C8"/>
    <w:rsid w:val="00F23B34"/>
    <w:rsid w:val="00F23D07"/>
    <w:rsid w:val="00F247A2"/>
    <w:rsid w:val="00F24E14"/>
    <w:rsid w:val="00F254C9"/>
    <w:rsid w:val="00F257ED"/>
    <w:rsid w:val="00F25991"/>
    <w:rsid w:val="00F25A07"/>
    <w:rsid w:val="00F2618E"/>
    <w:rsid w:val="00F262D0"/>
    <w:rsid w:val="00F264A9"/>
    <w:rsid w:val="00F26662"/>
    <w:rsid w:val="00F26743"/>
    <w:rsid w:val="00F268E5"/>
    <w:rsid w:val="00F26F47"/>
    <w:rsid w:val="00F26F54"/>
    <w:rsid w:val="00F301C6"/>
    <w:rsid w:val="00F302A5"/>
    <w:rsid w:val="00F3067C"/>
    <w:rsid w:val="00F30ECF"/>
    <w:rsid w:val="00F312C4"/>
    <w:rsid w:val="00F316A2"/>
    <w:rsid w:val="00F31D9D"/>
    <w:rsid w:val="00F320C5"/>
    <w:rsid w:val="00F32A44"/>
    <w:rsid w:val="00F33997"/>
    <w:rsid w:val="00F34AFF"/>
    <w:rsid w:val="00F35365"/>
    <w:rsid w:val="00F35500"/>
    <w:rsid w:val="00F35C70"/>
    <w:rsid w:val="00F370DF"/>
    <w:rsid w:val="00F37C86"/>
    <w:rsid w:val="00F40117"/>
    <w:rsid w:val="00F4031F"/>
    <w:rsid w:val="00F405D9"/>
    <w:rsid w:val="00F407E0"/>
    <w:rsid w:val="00F40954"/>
    <w:rsid w:val="00F40A7E"/>
    <w:rsid w:val="00F40DFD"/>
    <w:rsid w:val="00F40FD5"/>
    <w:rsid w:val="00F4112F"/>
    <w:rsid w:val="00F41802"/>
    <w:rsid w:val="00F418D1"/>
    <w:rsid w:val="00F42D10"/>
    <w:rsid w:val="00F436CA"/>
    <w:rsid w:val="00F43C66"/>
    <w:rsid w:val="00F4435E"/>
    <w:rsid w:val="00F44580"/>
    <w:rsid w:val="00F447AC"/>
    <w:rsid w:val="00F448CF"/>
    <w:rsid w:val="00F44D1E"/>
    <w:rsid w:val="00F44FBB"/>
    <w:rsid w:val="00F455A1"/>
    <w:rsid w:val="00F46A58"/>
    <w:rsid w:val="00F46C55"/>
    <w:rsid w:val="00F4708A"/>
    <w:rsid w:val="00F470EC"/>
    <w:rsid w:val="00F47FC1"/>
    <w:rsid w:val="00F50CEB"/>
    <w:rsid w:val="00F510A2"/>
    <w:rsid w:val="00F51984"/>
    <w:rsid w:val="00F52127"/>
    <w:rsid w:val="00F52AE3"/>
    <w:rsid w:val="00F52C78"/>
    <w:rsid w:val="00F548E7"/>
    <w:rsid w:val="00F54E97"/>
    <w:rsid w:val="00F55197"/>
    <w:rsid w:val="00F55211"/>
    <w:rsid w:val="00F56472"/>
    <w:rsid w:val="00F56591"/>
    <w:rsid w:val="00F57206"/>
    <w:rsid w:val="00F576E1"/>
    <w:rsid w:val="00F600ED"/>
    <w:rsid w:val="00F605BC"/>
    <w:rsid w:val="00F60690"/>
    <w:rsid w:val="00F60A52"/>
    <w:rsid w:val="00F61196"/>
    <w:rsid w:val="00F619EE"/>
    <w:rsid w:val="00F61C87"/>
    <w:rsid w:val="00F61E17"/>
    <w:rsid w:val="00F61F87"/>
    <w:rsid w:val="00F621F2"/>
    <w:rsid w:val="00F62971"/>
    <w:rsid w:val="00F63538"/>
    <w:rsid w:val="00F6389B"/>
    <w:rsid w:val="00F63A9D"/>
    <w:rsid w:val="00F6472C"/>
    <w:rsid w:val="00F64C2F"/>
    <w:rsid w:val="00F657E8"/>
    <w:rsid w:val="00F65A92"/>
    <w:rsid w:val="00F65D10"/>
    <w:rsid w:val="00F673DA"/>
    <w:rsid w:val="00F67610"/>
    <w:rsid w:val="00F67AE5"/>
    <w:rsid w:val="00F70B82"/>
    <w:rsid w:val="00F70CEB"/>
    <w:rsid w:val="00F71306"/>
    <w:rsid w:val="00F71656"/>
    <w:rsid w:val="00F72528"/>
    <w:rsid w:val="00F73025"/>
    <w:rsid w:val="00F73045"/>
    <w:rsid w:val="00F73EE8"/>
    <w:rsid w:val="00F750F7"/>
    <w:rsid w:val="00F755CB"/>
    <w:rsid w:val="00F75856"/>
    <w:rsid w:val="00F76E11"/>
    <w:rsid w:val="00F76E77"/>
    <w:rsid w:val="00F7717D"/>
    <w:rsid w:val="00F771D5"/>
    <w:rsid w:val="00F7797B"/>
    <w:rsid w:val="00F77C98"/>
    <w:rsid w:val="00F80A49"/>
    <w:rsid w:val="00F80B16"/>
    <w:rsid w:val="00F80EBD"/>
    <w:rsid w:val="00F814B8"/>
    <w:rsid w:val="00F8217B"/>
    <w:rsid w:val="00F82FCF"/>
    <w:rsid w:val="00F8305C"/>
    <w:rsid w:val="00F8387A"/>
    <w:rsid w:val="00F83DDF"/>
    <w:rsid w:val="00F83EBD"/>
    <w:rsid w:val="00F844D5"/>
    <w:rsid w:val="00F84917"/>
    <w:rsid w:val="00F852B6"/>
    <w:rsid w:val="00F85417"/>
    <w:rsid w:val="00F85981"/>
    <w:rsid w:val="00F8608A"/>
    <w:rsid w:val="00F8642D"/>
    <w:rsid w:val="00F867E6"/>
    <w:rsid w:val="00F870EE"/>
    <w:rsid w:val="00F87AAF"/>
    <w:rsid w:val="00F87BDD"/>
    <w:rsid w:val="00F87FD0"/>
    <w:rsid w:val="00F905E4"/>
    <w:rsid w:val="00F90DE2"/>
    <w:rsid w:val="00F91230"/>
    <w:rsid w:val="00F914E0"/>
    <w:rsid w:val="00F91F0B"/>
    <w:rsid w:val="00F9267A"/>
    <w:rsid w:val="00F92F0F"/>
    <w:rsid w:val="00F935AA"/>
    <w:rsid w:val="00F93E05"/>
    <w:rsid w:val="00F94235"/>
    <w:rsid w:val="00F9616A"/>
    <w:rsid w:val="00F96347"/>
    <w:rsid w:val="00F96558"/>
    <w:rsid w:val="00F96786"/>
    <w:rsid w:val="00F96F5E"/>
    <w:rsid w:val="00F97161"/>
    <w:rsid w:val="00F97292"/>
    <w:rsid w:val="00F9771E"/>
    <w:rsid w:val="00FA035D"/>
    <w:rsid w:val="00FA0B63"/>
    <w:rsid w:val="00FA1253"/>
    <w:rsid w:val="00FA1634"/>
    <w:rsid w:val="00FA2E1B"/>
    <w:rsid w:val="00FA3251"/>
    <w:rsid w:val="00FA35AF"/>
    <w:rsid w:val="00FA3CFF"/>
    <w:rsid w:val="00FA3E64"/>
    <w:rsid w:val="00FA424D"/>
    <w:rsid w:val="00FA442C"/>
    <w:rsid w:val="00FA4748"/>
    <w:rsid w:val="00FA4964"/>
    <w:rsid w:val="00FA4CD5"/>
    <w:rsid w:val="00FA5733"/>
    <w:rsid w:val="00FA57F5"/>
    <w:rsid w:val="00FA5DCD"/>
    <w:rsid w:val="00FA6242"/>
    <w:rsid w:val="00FA646E"/>
    <w:rsid w:val="00FA6A0C"/>
    <w:rsid w:val="00FA711E"/>
    <w:rsid w:val="00FA7321"/>
    <w:rsid w:val="00FA740B"/>
    <w:rsid w:val="00FA7C30"/>
    <w:rsid w:val="00FA7E74"/>
    <w:rsid w:val="00FB0337"/>
    <w:rsid w:val="00FB04BF"/>
    <w:rsid w:val="00FB0501"/>
    <w:rsid w:val="00FB0552"/>
    <w:rsid w:val="00FB05D3"/>
    <w:rsid w:val="00FB0D57"/>
    <w:rsid w:val="00FB10DD"/>
    <w:rsid w:val="00FB11DE"/>
    <w:rsid w:val="00FB129B"/>
    <w:rsid w:val="00FB160F"/>
    <w:rsid w:val="00FB1AEE"/>
    <w:rsid w:val="00FB1C22"/>
    <w:rsid w:val="00FB2020"/>
    <w:rsid w:val="00FB26D1"/>
    <w:rsid w:val="00FB2DC8"/>
    <w:rsid w:val="00FB31F5"/>
    <w:rsid w:val="00FB379F"/>
    <w:rsid w:val="00FB4032"/>
    <w:rsid w:val="00FB45EF"/>
    <w:rsid w:val="00FB4601"/>
    <w:rsid w:val="00FB4CBC"/>
    <w:rsid w:val="00FB4DF5"/>
    <w:rsid w:val="00FB52A4"/>
    <w:rsid w:val="00FB598B"/>
    <w:rsid w:val="00FB6731"/>
    <w:rsid w:val="00FB6AA4"/>
    <w:rsid w:val="00FB6BCF"/>
    <w:rsid w:val="00FB6C07"/>
    <w:rsid w:val="00FB6E49"/>
    <w:rsid w:val="00FB75C4"/>
    <w:rsid w:val="00FC055A"/>
    <w:rsid w:val="00FC0961"/>
    <w:rsid w:val="00FC0CD0"/>
    <w:rsid w:val="00FC23BA"/>
    <w:rsid w:val="00FC2CC1"/>
    <w:rsid w:val="00FC2EB0"/>
    <w:rsid w:val="00FC3232"/>
    <w:rsid w:val="00FC3F8F"/>
    <w:rsid w:val="00FC4227"/>
    <w:rsid w:val="00FC42CD"/>
    <w:rsid w:val="00FC453C"/>
    <w:rsid w:val="00FC519E"/>
    <w:rsid w:val="00FC5CA5"/>
    <w:rsid w:val="00FC5D36"/>
    <w:rsid w:val="00FC693A"/>
    <w:rsid w:val="00FC7E28"/>
    <w:rsid w:val="00FD0D41"/>
    <w:rsid w:val="00FD0FC6"/>
    <w:rsid w:val="00FD1697"/>
    <w:rsid w:val="00FD187E"/>
    <w:rsid w:val="00FD2AD8"/>
    <w:rsid w:val="00FD2DA6"/>
    <w:rsid w:val="00FD2DCE"/>
    <w:rsid w:val="00FD3248"/>
    <w:rsid w:val="00FD3620"/>
    <w:rsid w:val="00FD38FD"/>
    <w:rsid w:val="00FD48E7"/>
    <w:rsid w:val="00FD4D18"/>
    <w:rsid w:val="00FD5253"/>
    <w:rsid w:val="00FD6312"/>
    <w:rsid w:val="00FD656F"/>
    <w:rsid w:val="00FD6DCA"/>
    <w:rsid w:val="00FD6F13"/>
    <w:rsid w:val="00FD7199"/>
    <w:rsid w:val="00FD7655"/>
    <w:rsid w:val="00FD7B1A"/>
    <w:rsid w:val="00FE0323"/>
    <w:rsid w:val="00FE04FC"/>
    <w:rsid w:val="00FE0B51"/>
    <w:rsid w:val="00FE0DE2"/>
    <w:rsid w:val="00FE1901"/>
    <w:rsid w:val="00FE29B1"/>
    <w:rsid w:val="00FE4175"/>
    <w:rsid w:val="00FE41B7"/>
    <w:rsid w:val="00FE50E0"/>
    <w:rsid w:val="00FE5BEE"/>
    <w:rsid w:val="00FE601F"/>
    <w:rsid w:val="00FE63CE"/>
    <w:rsid w:val="00FE6B96"/>
    <w:rsid w:val="00FE6DCC"/>
    <w:rsid w:val="00FE77A8"/>
    <w:rsid w:val="00FF03FF"/>
    <w:rsid w:val="00FF045A"/>
    <w:rsid w:val="00FF0570"/>
    <w:rsid w:val="00FF0AC1"/>
    <w:rsid w:val="00FF105E"/>
    <w:rsid w:val="00FF1728"/>
    <w:rsid w:val="00FF1AD6"/>
    <w:rsid w:val="00FF2A59"/>
    <w:rsid w:val="00FF3675"/>
    <w:rsid w:val="00FF38C2"/>
    <w:rsid w:val="00FF3932"/>
    <w:rsid w:val="00FF3D9B"/>
    <w:rsid w:val="00FF4802"/>
    <w:rsid w:val="00FF4858"/>
    <w:rsid w:val="00FF4F24"/>
    <w:rsid w:val="00FF5173"/>
    <w:rsid w:val="00FF6796"/>
    <w:rsid w:val="00FF6B88"/>
    <w:rsid w:val="00FF6FF3"/>
    <w:rsid w:val="00FF72DE"/>
    <w:rsid w:val="00FF74CA"/>
    <w:rsid w:val="43EE3305"/>
    <w:rsid w:val="60CA9ACE"/>
    <w:rsid w:val="74D0540F"/>
    <w:rsid w:val="7822D565"/>
    <w:rsid w:val="7F50585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7EE2BC-3DEB-45A1-AADE-7CE0DAFA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53BF4"/>
    <w:pPr>
      <w:suppressAutoHyphens/>
      <w:overflowPunct w:val="0"/>
      <w:autoSpaceDE w:val="0"/>
      <w:autoSpaceDN w:val="0"/>
      <w:adjustRightInd w:val="0"/>
      <w:jc w:val="both"/>
      <w:textAlignment w:val="baseline"/>
    </w:pPr>
    <w:rPr>
      <w:rFonts w:ascii="Times New Roman" w:eastAsia="Times New Roman" w:hAnsi="Times New Roman"/>
      <w:sz w:val="24"/>
      <w:szCs w:val="20"/>
    </w:rPr>
  </w:style>
  <w:style w:type="paragraph" w:styleId="Titolo1">
    <w:name w:val="heading 1"/>
    <w:basedOn w:val="Normale"/>
    <w:next w:val="Normale"/>
    <w:link w:val="Titolo1Carattere"/>
    <w:uiPriority w:val="99"/>
    <w:qFormat/>
    <w:rsid w:val="001A125F"/>
    <w:pPr>
      <w:keepNext/>
      <w:numPr>
        <w:numId w:val="1"/>
      </w:numPr>
      <w:suppressAutoHyphens w:val="0"/>
      <w:overflowPunct/>
      <w:autoSpaceDE/>
      <w:autoSpaceDN/>
      <w:adjustRightInd/>
      <w:spacing w:before="120" w:line="360" w:lineRule="auto"/>
      <w:textAlignment w:val="auto"/>
      <w:outlineLvl w:val="0"/>
    </w:pPr>
    <w:rPr>
      <w:rFonts w:ascii="Arial" w:hAnsi="Arial" w:cs="Arial"/>
      <w:b/>
      <w:bCs/>
      <w:caps/>
      <w:noProof/>
      <w:kern w:val="28"/>
    </w:rPr>
  </w:style>
  <w:style w:type="paragraph" w:styleId="Titolo2">
    <w:name w:val="heading 2"/>
    <w:basedOn w:val="Normale"/>
    <w:next w:val="Normale"/>
    <w:link w:val="Titolo2Carattere"/>
    <w:uiPriority w:val="99"/>
    <w:qFormat/>
    <w:rsid w:val="00494B73"/>
    <w:pPr>
      <w:keepNext/>
      <w:numPr>
        <w:ilvl w:val="1"/>
        <w:numId w:val="1"/>
      </w:numPr>
      <w:suppressAutoHyphens w:val="0"/>
      <w:overflowPunct/>
      <w:autoSpaceDE/>
      <w:autoSpaceDN/>
      <w:adjustRightInd/>
      <w:spacing w:before="240" w:after="60" w:line="240" w:lineRule="exact"/>
      <w:ind w:left="576"/>
      <w:textAlignment w:val="auto"/>
      <w:outlineLvl w:val="1"/>
    </w:pPr>
    <w:rPr>
      <w:rFonts w:ascii="Arial" w:eastAsia="Calibri" w:hAnsi="Arial" w:cs="Arial"/>
      <w:b/>
      <w:bCs/>
      <w:noProof/>
      <w:szCs w:val="24"/>
    </w:rPr>
  </w:style>
  <w:style w:type="paragraph" w:styleId="Titolo3">
    <w:name w:val="heading 3"/>
    <w:basedOn w:val="Normale"/>
    <w:next w:val="Normale"/>
    <w:link w:val="Titolo3Carattere"/>
    <w:uiPriority w:val="99"/>
    <w:qFormat/>
    <w:rsid w:val="001A125F"/>
    <w:pPr>
      <w:keepNext/>
      <w:numPr>
        <w:ilvl w:val="2"/>
        <w:numId w:val="1"/>
      </w:numPr>
      <w:suppressAutoHyphens w:val="0"/>
      <w:overflowPunct/>
      <w:autoSpaceDE/>
      <w:autoSpaceDN/>
      <w:adjustRightInd/>
      <w:spacing w:before="120"/>
      <w:textAlignment w:val="auto"/>
      <w:outlineLvl w:val="2"/>
    </w:pPr>
    <w:rPr>
      <w:rFonts w:ascii="Arial" w:eastAsia="Calibri" w:hAnsi="Arial" w:cs="Arial"/>
      <w:noProof/>
      <w:szCs w:val="24"/>
    </w:rPr>
  </w:style>
  <w:style w:type="paragraph" w:styleId="Titolo4">
    <w:name w:val="heading 4"/>
    <w:basedOn w:val="Normale"/>
    <w:next w:val="Normale"/>
    <w:link w:val="Titolo4Carattere"/>
    <w:uiPriority w:val="99"/>
    <w:qFormat/>
    <w:rsid w:val="001A125F"/>
    <w:pPr>
      <w:keepNext/>
      <w:numPr>
        <w:ilvl w:val="3"/>
        <w:numId w:val="1"/>
      </w:numPr>
      <w:suppressAutoHyphens w:val="0"/>
      <w:overflowPunct/>
      <w:autoSpaceDE/>
      <w:autoSpaceDN/>
      <w:adjustRightInd/>
      <w:spacing w:before="120"/>
      <w:textAlignment w:val="auto"/>
      <w:outlineLvl w:val="3"/>
    </w:pPr>
    <w:rPr>
      <w:rFonts w:ascii="Arial" w:eastAsia="Calibri" w:hAnsi="Arial" w:cs="Arial"/>
      <w:noProof/>
      <w:szCs w:val="24"/>
    </w:rPr>
  </w:style>
  <w:style w:type="paragraph" w:styleId="Titolo5">
    <w:name w:val="heading 5"/>
    <w:basedOn w:val="Normale"/>
    <w:next w:val="Normale"/>
    <w:link w:val="Titolo5Carattere"/>
    <w:uiPriority w:val="99"/>
    <w:qFormat/>
    <w:rsid w:val="001A125F"/>
    <w:pPr>
      <w:numPr>
        <w:ilvl w:val="4"/>
        <w:numId w:val="1"/>
      </w:numPr>
      <w:suppressAutoHyphens w:val="0"/>
      <w:overflowPunct/>
      <w:autoSpaceDE/>
      <w:autoSpaceDN/>
      <w:adjustRightInd/>
      <w:spacing w:before="240" w:after="60"/>
      <w:textAlignment w:val="auto"/>
      <w:outlineLvl w:val="4"/>
    </w:pPr>
    <w:rPr>
      <w:rFonts w:ascii="Arial" w:eastAsia="Calibri" w:hAnsi="Arial" w:cs="Arial"/>
      <w:sz w:val="22"/>
      <w:szCs w:val="22"/>
    </w:rPr>
  </w:style>
  <w:style w:type="paragraph" w:styleId="Titolo6">
    <w:name w:val="heading 6"/>
    <w:basedOn w:val="Normale"/>
    <w:next w:val="Normale"/>
    <w:link w:val="Titolo6Carattere"/>
    <w:uiPriority w:val="99"/>
    <w:qFormat/>
    <w:rsid w:val="001A125F"/>
    <w:pPr>
      <w:numPr>
        <w:ilvl w:val="5"/>
        <w:numId w:val="1"/>
      </w:numPr>
      <w:suppressAutoHyphens w:val="0"/>
      <w:overflowPunct/>
      <w:autoSpaceDE/>
      <w:autoSpaceDN/>
      <w:adjustRightInd/>
      <w:spacing w:before="240" w:after="60"/>
      <w:textAlignment w:val="auto"/>
      <w:outlineLvl w:val="5"/>
    </w:pPr>
    <w:rPr>
      <w:rFonts w:ascii="Arial" w:eastAsia="Calibri" w:hAnsi="Arial" w:cs="Arial"/>
      <w:i/>
      <w:iCs/>
      <w:sz w:val="22"/>
      <w:szCs w:val="22"/>
    </w:rPr>
  </w:style>
  <w:style w:type="paragraph" w:styleId="Titolo7">
    <w:name w:val="heading 7"/>
    <w:basedOn w:val="Normale"/>
    <w:next w:val="Normale"/>
    <w:link w:val="Titolo7Carattere"/>
    <w:uiPriority w:val="99"/>
    <w:qFormat/>
    <w:rsid w:val="001A125F"/>
    <w:pPr>
      <w:numPr>
        <w:ilvl w:val="6"/>
        <w:numId w:val="1"/>
      </w:numPr>
      <w:suppressAutoHyphens w:val="0"/>
      <w:overflowPunct/>
      <w:autoSpaceDE/>
      <w:autoSpaceDN/>
      <w:adjustRightInd/>
      <w:spacing w:before="240" w:after="60"/>
      <w:textAlignment w:val="auto"/>
      <w:outlineLvl w:val="6"/>
    </w:pPr>
    <w:rPr>
      <w:rFonts w:ascii="Arial" w:eastAsia="Calibri" w:hAnsi="Arial" w:cs="Arial"/>
    </w:rPr>
  </w:style>
  <w:style w:type="paragraph" w:styleId="Titolo8">
    <w:name w:val="heading 8"/>
    <w:basedOn w:val="Normale"/>
    <w:next w:val="Normale"/>
    <w:link w:val="Titolo8Carattere"/>
    <w:uiPriority w:val="99"/>
    <w:qFormat/>
    <w:rsid w:val="001A125F"/>
    <w:pPr>
      <w:numPr>
        <w:ilvl w:val="7"/>
        <w:numId w:val="1"/>
      </w:numPr>
      <w:suppressAutoHyphens w:val="0"/>
      <w:overflowPunct/>
      <w:autoSpaceDE/>
      <w:autoSpaceDN/>
      <w:adjustRightInd/>
      <w:spacing w:before="240" w:after="60"/>
      <w:textAlignment w:val="auto"/>
      <w:outlineLvl w:val="7"/>
    </w:pPr>
    <w:rPr>
      <w:rFonts w:ascii="Arial" w:eastAsia="Calibri" w:hAnsi="Arial" w:cs="Arial"/>
      <w:i/>
      <w:iCs/>
    </w:rPr>
  </w:style>
  <w:style w:type="paragraph" w:styleId="Titolo9">
    <w:name w:val="heading 9"/>
    <w:basedOn w:val="Normale"/>
    <w:next w:val="Normale"/>
    <w:link w:val="Titolo9Carattere"/>
    <w:uiPriority w:val="99"/>
    <w:qFormat/>
    <w:rsid w:val="001A125F"/>
    <w:pPr>
      <w:numPr>
        <w:ilvl w:val="8"/>
        <w:numId w:val="1"/>
      </w:numPr>
      <w:suppressAutoHyphens w:val="0"/>
      <w:overflowPunct/>
      <w:autoSpaceDE/>
      <w:autoSpaceDN/>
      <w:adjustRightInd/>
      <w:spacing w:before="240" w:after="60"/>
      <w:textAlignment w:val="auto"/>
      <w:outlineLvl w:val="8"/>
    </w:pPr>
    <w:rPr>
      <w:rFonts w:ascii="Arial" w:eastAsia="Calibri" w:hAnsi="Arial" w:cs="Arial"/>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1A125F"/>
    <w:rPr>
      <w:rFonts w:ascii="Arial" w:eastAsia="Times New Roman" w:hAnsi="Arial" w:cs="Arial"/>
      <w:b/>
      <w:bCs/>
      <w:caps/>
      <w:noProof/>
      <w:kern w:val="28"/>
      <w:sz w:val="24"/>
      <w:szCs w:val="20"/>
    </w:rPr>
  </w:style>
  <w:style w:type="character" w:customStyle="1" w:styleId="Titolo2Carattere">
    <w:name w:val="Titolo 2 Carattere"/>
    <w:basedOn w:val="Carpredefinitoparagrafo"/>
    <w:link w:val="Titolo2"/>
    <w:uiPriority w:val="99"/>
    <w:rsid w:val="00494B73"/>
    <w:rPr>
      <w:rFonts w:ascii="Arial" w:hAnsi="Arial" w:cs="Arial"/>
      <w:b/>
      <w:bCs/>
      <w:noProof/>
      <w:sz w:val="24"/>
      <w:szCs w:val="24"/>
    </w:rPr>
  </w:style>
  <w:style w:type="character" w:customStyle="1" w:styleId="Titolo3Carattere">
    <w:name w:val="Titolo 3 Carattere"/>
    <w:basedOn w:val="Carpredefinitoparagrafo"/>
    <w:link w:val="Titolo3"/>
    <w:uiPriority w:val="99"/>
    <w:rsid w:val="001A125F"/>
    <w:rPr>
      <w:rFonts w:ascii="Arial" w:hAnsi="Arial" w:cs="Arial"/>
      <w:noProof/>
      <w:sz w:val="24"/>
      <w:szCs w:val="24"/>
    </w:rPr>
  </w:style>
  <w:style w:type="character" w:customStyle="1" w:styleId="Titolo4Carattere">
    <w:name w:val="Titolo 4 Carattere"/>
    <w:basedOn w:val="Carpredefinitoparagrafo"/>
    <w:link w:val="Titolo4"/>
    <w:uiPriority w:val="99"/>
    <w:rsid w:val="001A125F"/>
    <w:rPr>
      <w:rFonts w:ascii="Arial" w:hAnsi="Arial" w:cs="Arial"/>
      <w:noProof/>
      <w:sz w:val="24"/>
      <w:szCs w:val="24"/>
    </w:rPr>
  </w:style>
  <w:style w:type="character" w:customStyle="1" w:styleId="Titolo5Carattere">
    <w:name w:val="Titolo 5 Carattere"/>
    <w:basedOn w:val="Carpredefinitoparagrafo"/>
    <w:link w:val="Titolo5"/>
    <w:uiPriority w:val="99"/>
    <w:rsid w:val="001A125F"/>
    <w:rPr>
      <w:rFonts w:ascii="Arial" w:hAnsi="Arial" w:cs="Arial"/>
    </w:rPr>
  </w:style>
  <w:style w:type="character" w:customStyle="1" w:styleId="Titolo6Carattere">
    <w:name w:val="Titolo 6 Carattere"/>
    <w:basedOn w:val="Carpredefinitoparagrafo"/>
    <w:link w:val="Titolo6"/>
    <w:uiPriority w:val="99"/>
    <w:rsid w:val="001A125F"/>
    <w:rPr>
      <w:rFonts w:ascii="Arial" w:hAnsi="Arial" w:cs="Arial"/>
      <w:i/>
      <w:iCs/>
    </w:rPr>
  </w:style>
  <w:style w:type="character" w:customStyle="1" w:styleId="Titolo7Carattere">
    <w:name w:val="Titolo 7 Carattere"/>
    <w:basedOn w:val="Carpredefinitoparagrafo"/>
    <w:link w:val="Titolo7"/>
    <w:uiPriority w:val="99"/>
    <w:rsid w:val="001A125F"/>
    <w:rPr>
      <w:rFonts w:ascii="Arial" w:hAnsi="Arial" w:cs="Arial"/>
      <w:sz w:val="24"/>
      <w:szCs w:val="20"/>
    </w:rPr>
  </w:style>
  <w:style w:type="character" w:customStyle="1" w:styleId="Titolo8Carattere">
    <w:name w:val="Titolo 8 Carattere"/>
    <w:basedOn w:val="Carpredefinitoparagrafo"/>
    <w:link w:val="Titolo8"/>
    <w:uiPriority w:val="99"/>
    <w:rsid w:val="001A125F"/>
    <w:rPr>
      <w:rFonts w:ascii="Arial" w:hAnsi="Arial" w:cs="Arial"/>
      <w:i/>
      <w:iCs/>
      <w:sz w:val="24"/>
      <w:szCs w:val="20"/>
    </w:rPr>
  </w:style>
  <w:style w:type="character" w:customStyle="1" w:styleId="Titolo9Carattere">
    <w:name w:val="Titolo 9 Carattere"/>
    <w:basedOn w:val="Carpredefinitoparagrafo"/>
    <w:link w:val="Titolo9"/>
    <w:uiPriority w:val="99"/>
    <w:rsid w:val="001A125F"/>
    <w:rPr>
      <w:rFonts w:ascii="Arial" w:hAnsi="Arial" w:cs="Arial"/>
      <w:i/>
      <w:iCs/>
      <w:sz w:val="18"/>
      <w:szCs w:val="18"/>
    </w:rPr>
  </w:style>
  <w:style w:type="paragraph" w:customStyle="1" w:styleId="provvr0">
    <w:name w:val="provv_r0"/>
    <w:basedOn w:val="Normale"/>
    <w:rsid w:val="001A125F"/>
    <w:pPr>
      <w:suppressAutoHyphens w:val="0"/>
      <w:overflowPunct/>
      <w:autoSpaceDE/>
      <w:autoSpaceDN/>
      <w:adjustRightInd/>
      <w:spacing w:before="100" w:beforeAutospacing="1" w:after="100" w:afterAutospacing="1"/>
      <w:textAlignment w:val="auto"/>
    </w:pPr>
    <w:rPr>
      <w:szCs w:val="24"/>
    </w:rPr>
  </w:style>
  <w:style w:type="paragraph" w:customStyle="1" w:styleId="1">
    <w:name w:val="1"/>
    <w:basedOn w:val="Normale"/>
    <w:next w:val="Corpotesto"/>
    <w:uiPriority w:val="99"/>
    <w:rsid w:val="001A125F"/>
    <w:pPr>
      <w:suppressAutoHyphens w:val="0"/>
      <w:overflowPunct/>
      <w:autoSpaceDE/>
      <w:autoSpaceDN/>
      <w:adjustRightInd/>
      <w:textAlignment w:val="auto"/>
    </w:pPr>
    <w:rPr>
      <w:b/>
      <w:bCs/>
      <w:szCs w:val="24"/>
    </w:rPr>
  </w:style>
  <w:style w:type="paragraph" w:customStyle="1" w:styleId="provvr1">
    <w:name w:val="provv_r1"/>
    <w:basedOn w:val="Normale"/>
    <w:uiPriority w:val="99"/>
    <w:rsid w:val="001A125F"/>
    <w:pPr>
      <w:suppressAutoHyphens w:val="0"/>
      <w:overflowPunct/>
      <w:autoSpaceDE/>
      <w:autoSpaceDN/>
      <w:adjustRightInd/>
      <w:spacing w:before="100" w:beforeAutospacing="1" w:after="100" w:afterAutospacing="1"/>
      <w:textAlignment w:val="auto"/>
    </w:pPr>
    <w:rPr>
      <w:szCs w:val="24"/>
    </w:rPr>
  </w:style>
  <w:style w:type="paragraph" w:styleId="NormaleWeb">
    <w:name w:val="Normal (Web)"/>
    <w:basedOn w:val="Normale"/>
    <w:uiPriority w:val="99"/>
    <w:semiHidden/>
    <w:rsid w:val="001A125F"/>
    <w:pPr>
      <w:suppressAutoHyphens w:val="0"/>
      <w:overflowPunct/>
      <w:autoSpaceDE/>
      <w:autoSpaceDN/>
      <w:adjustRightInd/>
      <w:spacing w:before="100" w:beforeAutospacing="1" w:after="100" w:afterAutospacing="1"/>
      <w:textAlignment w:val="auto"/>
    </w:pPr>
    <w:rPr>
      <w:szCs w:val="24"/>
    </w:rPr>
  </w:style>
  <w:style w:type="paragraph" w:styleId="Didascalia">
    <w:name w:val="caption"/>
    <w:basedOn w:val="Normale"/>
    <w:next w:val="Normale"/>
    <w:uiPriority w:val="99"/>
    <w:qFormat/>
    <w:rsid w:val="001A125F"/>
    <w:pPr>
      <w:suppressAutoHyphens w:val="0"/>
      <w:overflowPunct/>
      <w:autoSpaceDE/>
      <w:autoSpaceDN/>
      <w:adjustRightInd/>
      <w:ind w:left="567"/>
      <w:textAlignment w:val="auto"/>
    </w:pPr>
    <w:rPr>
      <w:rFonts w:ascii="Kunstler Script" w:hAnsi="Kunstler Script" w:cs="Kunstler Script"/>
      <w:b/>
      <w:bCs/>
      <w:i/>
      <w:iCs/>
      <w:sz w:val="96"/>
      <w:szCs w:val="96"/>
    </w:rPr>
  </w:style>
  <w:style w:type="paragraph" w:customStyle="1" w:styleId="Default">
    <w:name w:val="Default"/>
    <w:rsid w:val="001A125F"/>
    <w:pPr>
      <w:autoSpaceDE w:val="0"/>
      <w:autoSpaceDN w:val="0"/>
      <w:adjustRightInd w:val="0"/>
    </w:pPr>
    <w:rPr>
      <w:rFonts w:ascii="EUAlbertina" w:eastAsia="Times New Roman" w:hAnsi="EUAlbertina" w:cs="EUAlbertina"/>
      <w:color w:val="000000"/>
      <w:sz w:val="24"/>
      <w:szCs w:val="24"/>
    </w:rPr>
  </w:style>
  <w:style w:type="character" w:customStyle="1" w:styleId="provvnumcomma">
    <w:name w:val="provv_numcomma"/>
    <w:basedOn w:val="Carpredefinitoparagrafo"/>
    <w:rsid w:val="001A125F"/>
  </w:style>
  <w:style w:type="paragraph" w:customStyle="1" w:styleId="default0">
    <w:name w:val="default"/>
    <w:basedOn w:val="Normale"/>
    <w:uiPriority w:val="99"/>
    <w:rsid w:val="001A125F"/>
    <w:pPr>
      <w:suppressAutoHyphens w:val="0"/>
      <w:overflowPunct/>
      <w:autoSpaceDE/>
      <w:autoSpaceDN/>
      <w:adjustRightInd/>
      <w:textAlignment w:val="auto"/>
    </w:pPr>
    <w:rPr>
      <w:rFonts w:ascii="Times New Roman PS" w:hAnsi="Times New Roman PS" w:cs="Times New Roman PS"/>
      <w:color w:val="000000"/>
      <w:szCs w:val="24"/>
    </w:rPr>
  </w:style>
  <w:style w:type="paragraph" w:styleId="Paragrafoelenco">
    <w:name w:val="List Paragraph"/>
    <w:aliases w:val="Bullet list,Conclusion de partie,Dot pt,F5 List Paragraph,List Paragraph Char Char Char,Indicator Text,Numbered Para 1,Bullet Points,List Paragraph2,MAIN CONTENT,Normal numbered,List Paragraph1,Colorful List - Accent 11,3"/>
    <w:basedOn w:val="Normale"/>
    <w:link w:val="ParagrafoelencoCarattere"/>
    <w:uiPriority w:val="34"/>
    <w:qFormat/>
    <w:rsid w:val="001A125F"/>
    <w:pPr>
      <w:ind w:left="720"/>
    </w:pPr>
  </w:style>
  <w:style w:type="paragraph" w:styleId="Corpotesto">
    <w:name w:val="Body Text"/>
    <w:basedOn w:val="Normale"/>
    <w:link w:val="CorpotestoCarattere"/>
    <w:uiPriority w:val="99"/>
    <w:semiHidden/>
    <w:rsid w:val="001A125F"/>
    <w:pPr>
      <w:spacing w:after="120"/>
    </w:pPr>
  </w:style>
  <w:style w:type="character" w:customStyle="1" w:styleId="CorpotestoCarattere">
    <w:name w:val="Corpo testo Carattere"/>
    <w:basedOn w:val="Carpredefinitoparagrafo"/>
    <w:link w:val="Corpotesto"/>
    <w:uiPriority w:val="99"/>
    <w:semiHidden/>
    <w:rsid w:val="001A125F"/>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1A12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125F"/>
    <w:rPr>
      <w:rFonts w:ascii="Tahoma" w:hAnsi="Tahoma" w:cs="Tahoma"/>
      <w:sz w:val="16"/>
      <w:szCs w:val="16"/>
      <w:lang w:eastAsia="it-IT"/>
    </w:rPr>
  </w:style>
  <w:style w:type="paragraph" w:customStyle="1" w:styleId="provvr01">
    <w:name w:val="provv_r01"/>
    <w:basedOn w:val="Normale"/>
    <w:uiPriority w:val="99"/>
    <w:rsid w:val="001A125F"/>
    <w:pPr>
      <w:suppressAutoHyphens w:val="0"/>
      <w:overflowPunct/>
      <w:autoSpaceDE/>
      <w:autoSpaceDN/>
      <w:adjustRightInd/>
      <w:spacing w:before="100" w:beforeAutospacing="1" w:after="100" w:afterAutospacing="1"/>
      <w:textAlignment w:val="auto"/>
    </w:pPr>
    <w:rPr>
      <w:rFonts w:ascii="Verdana" w:hAnsi="Verdana" w:cs="Verdana"/>
      <w:szCs w:val="24"/>
    </w:rPr>
  </w:style>
  <w:style w:type="character" w:customStyle="1" w:styleId="provvtitart">
    <w:name w:val="provv_titart"/>
    <w:basedOn w:val="Carpredefinitoparagrafo"/>
    <w:rsid w:val="001A125F"/>
  </w:style>
  <w:style w:type="character" w:customStyle="1" w:styleId="provvsottotitart">
    <w:name w:val="provv_sottotitart"/>
    <w:basedOn w:val="Carpredefinitoparagrafo"/>
    <w:rsid w:val="001A125F"/>
  </w:style>
  <w:style w:type="paragraph" w:customStyle="1" w:styleId="provvtitoli">
    <w:name w:val="provv_titoli"/>
    <w:basedOn w:val="Normale"/>
    <w:rsid w:val="001A125F"/>
    <w:pPr>
      <w:suppressAutoHyphens w:val="0"/>
      <w:overflowPunct/>
      <w:autoSpaceDE/>
      <w:autoSpaceDN/>
      <w:adjustRightInd/>
      <w:spacing w:before="100" w:beforeAutospacing="1" w:after="100" w:afterAutospacing="1"/>
      <w:textAlignment w:val="auto"/>
    </w:pPr>
    <w:rPr>
      <w:szCs w:val="24"/>
    </w:rPr>
  </w:style>
  <w:style w:type="paragraph" w:customStyle="1" w:styleId="Paragrafoelenco1">
    <w:name w:val="Paragrafo elenco1"/>
    <w:basedOn w:val="Normale"/>
    <w:uiPriority w:val="99"/>
    <w:rsid w:val="001A125F"/>
    <w:pPr>
      <w:ind w:left="720"/>
    </w:pPr>
  </w:style>
  <w:style w:type="character" w:styleId="Rimandonotaapidipagina">
    <w:name w:val="footnote reference"/>
    <w:basedOn w:val="Carpredefinitoparagrafo"/>
    <w:uiPriority w:val="99"/>
    <w:semiHidden/>
    <w:rsid w:val="001A125F"/>
    <w:rPr>
      <w:vertAlign w:val="superscript"/>
    </w:rPr>
  </w:style>
  <w:style w:type="paragraph" w:customStyle="1" w:styleId="NormaleWeb10">
    <w:name w:val="Normale (Web)10"/>
    <w:basedOn w:val="Normale"/>
    <w:uiPriority w:val="99"/>
    <w:rsid w:val="001A125F"/>
    <w:pPr>
      <w:suppressAutoHyphens w:val="0"/>
      <w:overflowPunct/>
      <w:autoSpaceDE/>
      <w:autoSpaceDN/>
      <w:adjustRightInd/>
      <w:spacing w:before="120" w:after="120"/>
      <w:textAlignment w:val="auto"/>
    </w:pPr>
    <w:rPr>
      <w:rFonts w:ascii="Verdana" w:hAnsi="Verdana" w:cs="Verdana"/>
      <w:color w:val="000000"/>
    </w:rPr>
  </w:style>
  <w:style w:type="paragraph" w:styleId="Titolo">
    <w:name w:val="Title"/>
    <w:basedOn w:val="Normale"/>
    <w:link w:val="TitoloCarattere"/>
    <w:uiPriority w:val="99"/>
    <w:qFormat/>
    <w:rsid w:val="00A24229"/>
    <w:pPr>
      <w:suppressAutoHyphens w:val="0"/>
      <w:overflowPunct/>
      <w:textAlignment w:val="auto"/>
    </w:pPr>
    <w:rPr>
      <w:b/>
      <w:bCs/>
      <w:szCs w:val="24"/>
    </w:rPr>
  </w:style>
  <w:style w:type="character" w:customStyle="1" w:styleId="TitoloCarattere">
    <w:name w:val="Titolo Carattere"/>
    <w:basedOn w:val="Carpredefinitoparagrafo"/>
    <w:link w:val="Titolo"/>
    <w:uiPriority w:val="99"/>
    <w:rsid w:val="00A24229"/>
    <w:rPr>
      <w:rFonts w:ascii="Times New Roman" w:eastAsia="Times New Roman" w:hAnsi="Times New Roman"/>
      <w:b/>
      <w:bCs/>
      <w:sz w:val="24"/>
      <w:szCs w:val="24"/>
    </w:rPr>
  </w:style>
  <w:style w:type="paragraph" w:customStyle="1" w:styleId="provvr2">
    <w:name w:val="provv_r2"/>
    <w:basedOn w:val="Normale"/>
    <w:uiPriority w:val="99"/>
    <w:rsid w:val="001A125F"/>
    <w:pPr>
      <w:suppressAutoHyphens w:val="0"/>
      <w:overflowPunct/>
      <w:autoSpaceDE/>
      <w:autoSpaceDN/>
      <w:adjustRightInd/>
      <w:spacing w:before="100" w:beforeAutospacing="1" w:after="100" w:afterAutospacing="1"/>
      <w:textAlignment w:val="auto"/>
    </w:pPr>
    <w:rPr>
      <w:szCs w:val="24"/>
    </w:rPr>
  </w:style>
  <w:style w:type="character" w:styleId="Collegamentoipertestuale">
    <w:name w:val="Hyperlink"/>
    <w:basedOn w:val="Carpredefinitoparagrafo"/>
    <w:uiPriority w:val="99"/>
    <w:rsid w:val="001A125F"/>
    <w:rPr>
      <w:color w:val="0000FF"/>
      <w:u w:val="none"/>
      <w:effect w:val="none"/>
    </w:rPr>
  </w:style>
  <w:style w:type="paragraph" w:customStyle="1" w:styleId="provvr11">
    <w:name w:val="provv_r11"/>
    <w:basedOn w:val="Normale"/>
    <w:uiPriority w:val="99"/>
    <w:rsid w:val="001A125F"/>
    <w:pPr>
      <w:suppressAutoHyphens w:val="0"/>
      <w:overflowPunct/>
      <w:autoSpaceDE/>
      <w:autoSpaceDN/>
      <w:adjustRightInd/>
      <w:spacing w:before="100" w:beforeAutospacing="1" w:after="100" w:afterAutospacing="1"/>
      <w:ind w:firstLine="400"/>
      <w:textAlignment w:val="auto"/>
    </w:pPr>
    <w:rPr>
      <w:rFonts w:ascii="Verdana" w:hAnsi="Verdana" w:cs="Verdana"/>
      <w:szCs w:val="24"/>
    </w:rPr>
  </w:style>
  <w:style w:type="paragraph" w:customStyle="1" w:styleId="provvambito">
    <w:name w:val="provv_ambito"/>
    <w:basedOn w:val="Normale"/>
    <w:uiPriority w:val="99"/>
    <w:rsid w:val="001A125F"/>
    <w:pPr>
      <w:suppressAutoHyphens w:val="0"/>
      <w:overflowPunct/>
      <w:autoSpaceDE/>
      <w:autoSpaceDN/>
      <w:adjustRightInd/>
      <w:spacing w:before="100" w:beforeAutospacing="1" w:after="100" w:afterAutospacing="1"/>
      <w:textAlignment w:val="auto"/>
    </w:pPr>
    <w:rPr>
      <w:b/>
      <w:bCs/>
      <w:szCs w:val="24"/>
    </w:rPr>
  </w:style>
  <w:style w:type="paragraph" w:customStyle="1" w:styleId="c41dispositifintroduction">
    <w:name w:val="c41dispositifintroduction"/>
    <w:basedOn w:val="Normale"/>
    <w:uiPriority w:val="99"/>
    <w:rsid w:val="000B77DC"/>
    <w:pPr>
      <w:suppressAutoHyphens w:val="0"/>
      <w:overflowPunct/>
      <w:autoSpaceDE/>
      <w:autoSpaceDN/>
      <w:adjustRightInd/>
      <w:spacing w:before="100" w:beforeAutospacing="1" w:after="100" w:afterAutospacing="1"/>
      <w:textAlignment w:val="auto"/>
    </w:pPr>
    <w:rPr>
      <w:szCs w:val="24"/>
    </w:rPr>
  </w:style>
  <w:style w:type="character" w:customStyle="1" w:styleId="estremosel">
    <w:name w:val="estremosel"/>
    <w:basedOn w:val="Carpredefinitoparagrafo"/>
    <w:uiPriority w:val="99"/>
    <w:rsid w:val="00D43125"/>
  </w:style>
  <w:style w:type="paragraph" w:styleId="PreformattatoHTML">
    <w:name w:val="HTML Preformatted"/>
    <w:basedOn w:val="Normale"/>
    <w:link w:val="PreformattatoHTMLCarattere"/>
    <w:uiPriority w:val="99"/>
    <w:rsid w:val="00FF10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uiPriority w:val="99"/>
    <w:rsid w:val="00FF105E"/>
    <w:rPr>
      <w:rFonts w:ascii="Courier New" w:hAnsi="Courier New" w:cs="Courier New"/>
      <w:sz w:val="20"/>
      <w:szCs w:val="20"/>
      <w:lang w:eastAsia="it-IT"/>
    </w:rPr>
  </w:style>
  <w:style w:type="character" w:styleId="Enfasigrassetto">
    <w:name w:val="Strong"/>
    <w:basedOn w:val="Carpredefinitoparagrafo"/>
    <w:uiPriority w:val="22"/>
    <w:qFormat/>
    <w:rsid w:val="00FF105E"/>
    <w:rPr>
      <w:b/>
      <w:bCs/>
    </w:rPr>
  </w:style>
  <w:style w:type="character" w:styleId="Rimandocommento">
    <w:name w:val="annotation reference"/>
    <w:basedOn w:val="Carpredefinitoparagrafo"/>
    <w:uiPriority w:val="99"/>
    <w:semiHidden/>
    <w:rsid w:val="00725532"/>
    <w:rPr>
      <w:sz w:val="16"/>
      <w:szCs w:val="16"/>
    </w:rPr>
  </w:style>
  <w:style w:type="paragraph" w:styleId="Testocommento">
    <w:name w:val="annotation text"/>
    <w:basedOn w:val="Normale"/>
    <w:link w:val="TestocommentoCarattere"/>
    <w:uiPriority w:val="99"/>
    <w:rsid w:val="00725532"/>
  </w:style>
  <w:style w:type="character" w:customStyle="1" w:styleId="TestocommentoCarattere">
    <w:name w:val="Testo commento Carattere"/>
    <w:basedOn w:val="Carpredefinitoparagrafo"/>
    <w:link w:val="Testocommento"/>
    <w:uiPriority w:val="99"/>
    <w:rsid w:val="00725532"/>
    <w:rPr>
      <w:rFonts w:ascii="Times New Roman" w:hAnsi="Times New Roman" w:cs="Times New Roman"/>
      <w:sz w:val="20"/>
      <w:szCs w:val="20"/>
      <w:lang w:eastAsia="it-IT"/>
    </w:rPr>
  </w:style>
  <w:style w:type="paragraph" w:styleId="Intestazione">
    <w:name w:val="header"/>
    <w:basedOn w:val="Normale"/>
    <w:link w:val="IntestazioneCarattere"/>
    <w:uiPriority w:val="99"/>
    <w:rsid w:val="00561657"/>
    <w:pPr>
      <w:tabs>
        <w:tab w:val="center" w:pos="4819"/>
        <w:tab w:val="right" w:pos="9638"/>
      </w:tabs>
    </w:pPr>
  </w:style>
  <w:style w:type="character" w:customStyle="1" w:styleId="IntestazioneCarattere">
    <w:name w:val="Intestazione Carattere"/>
    <w:basedOn w:val="Carpredefinitoparagrafo"/>
    <w:link w:val="Intestazione"/>
    <w:uiPriority w:val="99"/>
    <w:rsid w:val="00561657"/>
    <w:rPr>
      <w:rFonts w:ascii="Times New Roman" w:hAnsi="Times New Roman" w:cs="Times New Roman"/>
      <w:sz w:val="20"/>
      <w:szCs w:val="20"/>
      <w:lang w:eastAsia="it-IT"/>
    </w:rPr>
  </w:style>
  <w:style w:type="paragraph" w:styleId="Pidipagina">
    <w:name w:val="footer"/>
    <w:basedOn w:val="Normale"/>
    <w:link w:val="PidipaginaCarattere"/>
    <w:uiPriority w:val="99"/>
    <w:rsid w:val="00561657"/>
    <w:pPr>
      <w:tabs>
        <w:tab w:val="center" w:pos="4819"/>
        <w:tab w:val="right" w:pos="9638"/>
      </w:tabs>
    </w:pPr>
  </w:style>
  <w:style w:type="character" w:customStyle="1" w:styleId="PidipaginaCarattere">
    <w:name w:val="Piè di pagina Carattere"/>
    <w:basedOn w:val="Carpredefinitoparagrafo"/>
    <w:link w:val="Pidipagina"/>
    <w:uiPriority w:val="99"/>
    <w:rsid w:val="00561657"/>
    <w:rPr>
      <w:rFonts w:ascii="Times New Roman" w:hAnsi="Times New Roman" w:cs="Times New Roman"/>
      <w:sz w:val="20"/>
      <w:szCs w:val="20"/>
      <w:lang w:eastAsia="it-IT"/>
    </w:rPr>
  </w:style>
  <w:style w:type="character" w:styleId="Enfasicorsivo">
    <w:name w:val="Emphasis"/>
    <w:basedOn w:val="Carpredefinitoparagrafo"/>
    <w:uiPriority w:val="20"/>
    <w:qFormat/>
    <w:rsid w:val="00D716FD"/>
    <w:rPr>
      <w:i/>
      <w:iCs/>
    </w:rPr>
  </w:style>
  <w:style w:type="paragraph" w:styleId="Soggettocommento">
    <w:name w:val="annotation subject"/>
    <w:basedOn w:val="Testocommento"/>
    <w:next w:val="Testocommento"/>
    <w:link w:val="SoggettocommentoCarattere"/>
    <w:uiPriority w:val="99"/>
    <w:semiHidden/>
    <w:rsid w:val="00097592"/>
    <w:rPr>
      <w:b/>
      <w:bCs/>
    </w:rPr>
  </w:style>
  <w:style w:type="character" w:customStyle="1" w:styleId="SoggettocommentoCarattere">
    <w:name w:val="Soggetto commento Carattere"/>
    <w:basedOn w:val="TestocommentoCarattere"/>
    <w:link w:val="Soggettocommento"/>
    <w:uiPriority w:val="99"/>
    <w:semiHidden/>
    <w:rsid w:val="00097592"/>
    <w:rPr>
      <w:rFonts w:ascii="Times New Roman" w:hAnsi="Times New Roman" w:cs="Times New Roman"/>
      <w:b/>
      <w:bCs/>
      <w:sz w:val="20"/>
      <w:szCs w:val="20"/>
      <w:lang w:eastAsia="it-IT"/>
    </w:rPr>
  </w:style>
  <w:style w:type="paragraph" w:styleId="Revisione">
    <w:name w:val="Revision"/>
    <w:hidden/>
    <w:uiPriority w:val="99"/>
    <w:semiHidden/>
    <w:rsid w:val="00820005"/>
    <w:rPr>
      <w:rFonts w:ascii="Times New Roman" w:eastAsia="Times New Roman" w:hAnsi="Times New Roman"/>
      <w:sz w:val="20"/>
      <w:szCs w:val="20"/>
    </w:rPr>
  </w:style>
  <w:style w:type="character" w:customStyle="1" w:styleId="italic">
    <w:name w:val="italic"/>
    <w:basedOn w:val="Carpredefinitoparagrafo"/>
    <w:uiPriority w:val="99"/>
    <w:rsid w:val="007636AB"/>
  </w:style>
  <w:style w:type="table" w:styleId="Grigliatabella">
    <w:name w:val="Table Grid"/>
    <w:basedOn w:val="Tabellanormale"/>
    <w:uiPriority w:val="59"/>
    <w:rsid w:val="00D5184B"/>
    <w:pPr>
      <w:suppressAutoHyphens/>
      <w:overflowPunct w:val="0"/>
      <w:autoSpaceDE w:val="0"/>
      <w:autoSpaceDN w:val="0"/>
      <w:adjustRightInd w:val="0"/>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Bullet list Carattere,Conclusion de partie Carattere,Dot pt Carattere,F5 List Paragraph Carattere,List Paragraph Char Char Char Carattere,Indicator Text Carattere,Numbered Para 1 Carattere,Bullet Points Carattere,3 Carattere"/>
    <w:basedOn w:val="Carpredefinitoparagrafo"/>
    <w:link w:val="Paragrafoelenco"/>
    <w:uiPriority w:val="34"/>
    <w:qFormat/>
    <w:locked/>
    <w:rsid w:val="002C22CA"/>
    <w:rPr>
      <w:rFonts w:ascii="Times New Roman" w:eastAsia="Times New Roman" w:hAnsi="Times New Roman"/>
      <w:sz w:val="20"/>
      <w:szCs w:val="20"/>
    </w:rPr>
  </w:style>
  <w:style w:type="table" w:customStyle="1" w:styleId="Grigliatabella1">
    <w:name w:val="Griglia tabella1"/>
    <w:basedOn w:val="Tabellanormale"/>
    <w:next w:val="Grigliatabella"/>
    <w:uiPriority w:val="59"/>
    <w:rsid w:val="000D43AD"/>
    <w:pPr>
      <w:suppressAutoHyphens/>
      <w:overflowPunct w:val="0"/>
      <w:autoSpaceDE w:val="0"/>
      <w:autoSpaceDN w:val="0"/>
      <w:adjustRightInd w:val="0"/>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unhideWhenUsed/>
    <w:rsid w:val="006D0BC8"/>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6D0BC8"/>
    <w:rPr>
      <w:rFonts w:ascii="Tahoma" w:eastAsia="Times New Roman" w:hAnsi="Tahoma" w:cs="Tahoma"/>
      <w:sz w:val="16"/>
      <w:szCs w:val="16"/>
    </w:rPr>
  </w:style>
  <w:style w:type="paragraph" w:styleId="Nessunaspaziatura">
    <w:name w:val="No Spacing"/>
    <w:uiPriority w:val="1"/>
    <w:qFormat/>
    <w:rsid w:val="004C7336"/>
    <w:pPr>
      <w:suppressAutoHyphens/>
      <w:overflowPunct w:val="0"/>
      <w:autoSpaceDE w:val="0"/>
      <w:autoSpaceDN w:val="0"/>
      <w:adjustRightInd w:val="0"/>
      <w:jc w:val="both"/>
      <w:textAlignment w:val="baseline"/>
    </w:pPr>
    <w:rPr>
      <w:rFonts w:ascii="Times New Roman" w:eastAsia="Times New Roman" w:hAnsi="Times New Roman"/>
      <w:sz w:val="24"/>
      <w:szCs w:val="20"/>
    </w:rPr>
  </w:style>
  <w:style w:type="paragraph" w:styleId="Sottotitolo">
    <w:name w:val="Subtitle"/>
    <w:basedOn w:val="Normale"/>
    <w:next w:val="Normale"/>
    <w:link w:val="SottotitoloCarattere"/>
    <w:uiPriority w:val="11"/>
    <w:qFormat/>
    <w:rsid w:val="00526447"/>
    <w:pPr>
      <w:numPr>
        <w:ilvl w:val="1"/>
      </w:numPr>
      <w:spacing w:before="120" w:after="280"/>
    </w:pPr>
    <w:rPr>
      <w:rFonts w:eastAsiaTheme="minorEastAsia" w:cstheme="minorBidi"/>
      <w:b/>
      <w:spacing w:val="15"/>
      <w:szCs w:val="22"/>
    </w:rPr>
  </w:style>
  <w:style w:type="character" w:customStyle="1" w:styleId="SottotitoloCarattere">
    <w:name w:val="Sottotitolo Carattere"/>
    <w:basedOn w:val="Carpredefinitoparagrafo"/>
    <w:link w:val="Sottotitolo"/>
    <w:uiPriority w:val="11"/>
    <w:rsid w:val="00526447"/>
    <w:rPr>
      <w:rFonts w:ascii="Times New Roman" w:eastAsiaTheme="minorEastAsia" w:hAnsi="Times New Roman" w:cstheme="minorBidi"/>
      <w:b/>
      <w:spacing w:val="15"/>
      <w:sz w:val="24"/>
    </w:rPr>
  </w:style>
  <w:style w:type="paragraph" w:styleId="Sommario1">
    <w:name w:val="toc 1"/>
    <w:basedOn w:val="Normale"/>
    <w:next w:val="Normale"/>
    <w:autoRedefine/>
    <w:uiPriority w:val="39"/>
    <w:unhideWhenUsed/>
    <w:rsid w:val="00BF5758"/>
    <w:pPr>
      <w:tabs>
        <w:tab w:val="right" w:pos="9628"/>
      </w:tabs>
      <w:spacing w:before="360"/>
      <w:jc w:val="left"/>
    </w:pPr>
    <w:rPr>
      <w:rFonts w:asciiTheme="minorHAnsi" w:hAnsiTheme="minorHAnsi" w:cstheme="minorHAnsi"/>
      <w:b/>
      <w:bCs/>
      <w:caps/>
      <w:noProof/>
      <w:szCs w:val="24"/>
      <w:u w:val="single"/>
    </w:rPr>
  </w:style>
  <w:style w:type="paragraph" w:styleId="Sommario2">
    <w:name w:val="toc 2"/>
    <w:basedOn w:val="Normale"/>
    <w:next w:val="Normale"/>
    <w:autoRedefine/>
    <w:uiPriority w:val="39"/>
    <w:unhideWhenUsed/>
    <w:rsid w:val="00BF5758"/>
    <w:pPr>
      <w:tabs>
        <w:tab w:val="right" w:pos="9628"/>
      </w:tabs>
      <w:jc w:val="left"/>
    </w:pPr>
    <w:rPr>
      <w:rFonts w:asciiTheme="minorHAnsi" w:hAnsiTheme="minorHAnsi" w:cstheme="minorHAnsi"/>
      <w:sz w:val="28"/>
      <w:szCs w:val="22"/>
    </w:rPr>
  </w:style>
  <w:style w:type="paragraph" w:styleId="Sommario3">
    <w:name w:val="toc 3"/>
    <w:basedOn w:val="Normale"/>
    <w:next w:val="Normale"/>
    <w:autoRedefine/>
    <w:uiPriority w:val="39"/>
    <w:unhideWhenUsed/>
    <w:rsid w:val="00B662B9"/>
    <w:pPr>
      <w:jc w:val="left"/>
    </w:pPr>
    <w:rPr>
      <w:rFonts w:asciiTheme="minorHAnsi" w:hAnsiTheme="minorHAnsi" w:cstheme="minorHAnsi"/>
      <w:smallCaps/>
      <w:sz w:val="22"/>
      <w:szCs w:val="22"/>
    </w:rPr>
  </w:style>
  <w:style w:type="paragraph" w:styleId="Sommario4">
    <w:name w:val="toc 4"/>
    <w:basedOn w:val="Normale"/>
    <w:next w:val="Normale"/>
    <w:autoRedefine/>
    <w:uiPriority w:val="39"/>
    <w:unhideWhenUsed/>
    <w:rsid w:val="00B662B9"/>
    <w:pPr>
      <w:jc w:val="left"/>
    </w:pPr>
    <w:rPr>
      <w:rFonts w:asciiTheme="minorHAnsi" w:hAnsiTheme="minorHAnsi" w:cstheme="minorHAnsi"/>
      <w:sz w:val="22"/>
      <w:szCs w:val="22"/>
    </w:rPr>
  </w:style>
  <w:style w:type="paragraph" w:styleId="Sommario5">
    <w:name w:val="toc 5"/>
    <w:basedOn w:val="Normale"/>
    <w:next w:val="Normale"/>
    <w:autoRedefine/>
    <w:uiPriority w:val="39"/>
    <w:unhideWhenUsed/>
    <w:rsid w:val="00B662B9"/>
    <w:pPr>
      <w:jc w:val="left"/>
    </w:pPr>
    <w:rPr>
      <w:rFonts w:asciiTheme="minorHAnsi" w:hAnsiTheme="minorHAnsi" w:cstheme="minorHAnsi"/>
      <w:sz w:val="22"/>
      <w:szCs w:val="22"/>
    </w:rPr>
  </w:style>
  <w:style w:type="paragraph" w:styleId="Sommario6">
    <w:name w:val="toc 6"/>
    <w:basedOn w:val="Normale"/>
    <w:next w:val="Normale"/>
    <w:autoRedefine/>
    <w:uiPriority w:val="39"/>
    <w:unhideWhenUsed/>
    <w:rsid w:val="00B662B9"/>
    <w:pPr>
      <w:jc w:val="left"/>
    </w:pPr>
    <w:rPr>
      <w:rFonts w:asciiTheme="minorHAnsi" w:hAnsiTheme="minorHAnsi" w:cstheme="minorHAnsi"/>
      <w:sz w:val="22"/>
      <w:szCs w:val="22"/>
    </w:rPr>
  </w:style>
  <w:style w:type="paragraph" w:styleId="Sommario7">
    <w:name w:val="toc 7"/>
    <w:basedOn w:val="Normale"/>
    <w:next w:val="Normale"/>
    <w:autoRedefine/>
    <w:uiPriority w:val="39"/>
    <w:unhideWhenUsed/>
    <w:rsid w:val="00B662B9"/>
    <w:pPr>
      <w:jc w:val="left"/>
    </w:pPr>
    <w:rPr>
      <w:rFonts w:asciiTheme="minorHAnsi" w:hAnsiTheme="minorHAnsi" w:cstheme="minorHAnsi"/>
      <w:sz w:val="22"/>
      <w:szCs w:val="22"/>
    </w:rPr>
  </w:style>
  <w:style w:type="paragraph" w:styleId="Sommario8">
    <w:name w:val="toc 8"/>
    <w:basedOn w:val="Normale"/>
    <w:next w:val="Normale"/>
    <w:autoRedefine/>
    <w:uiPriority w:val="39"/>
    <w:unhideWhenUsed/>
    <w:rsid w:val="00B662B9"/>
    <w:pPr>
      <w:jc w:val="left"/>
    </w:pPr>
    <w:rPr>
      <w:rFonts w:asciiTheme="minorHAnsi" w:hAnsiTheme="minorHAnsi" w:cstheme="minorHAnsi"/>
      <w:sz w:val="22"/>
      <w:szCs w:val="22"/>
    </w:rPr>
  </w:style>
  <w:style w:type="paragraph" w:styleId="Sommario9">
    <w:name w:val="toc 9"/>
    <w:basedOn w:val="Normale"/>
    <w:next w:val="Normale"/>
    <w:autoRedefine/>
    <w:uiPriority w:val="39"/>
    <w:unhideWhenUsed/>
    <w:rsid w:val="00B662B9"/>
    <w:pPr>
      <w:jc w:val="left"/>
    </w:pPr>
    <w:rPr>
      <w:rFonts w:asciiTheme="minorHAnsi" w:hAnsiTheme="minorHAnsi" w:cstheme="minorHAnsi"/>
      <w:sz w:val="22"/>
      <w:szCs w:val="22"/>
    </w:rPr>
  </w:style>
  <w:style w:type="paragraph" w:styleId="Testonotaapidipagina">
    <w:name w:val="footnote text"/>
    <w:basedOn w:val="Normale"/>
    <w:link w:val="TestonotaapidipaginaCarattere"/>
    <w:uiPriority w:val="99"/>
    <w:semiHidden/>
    <w:unhideWhenUsed/>
    <w:rsid w:val="00DD4FA8"/>
    <w:rPr>
      <w:sz w:val="20"/>
    </w:rPr>
  </w:style>
  <w:style w:type="character" w:customStyle="1" w:styleId="TestonotaapidipaginaCarattere">
    <w:name w:val="Testo nota a piè di pagina Carattere"/>
    <w:basedOn w:val="Carpredefinitoparagrafo"/>
    <w:link w:val="Testonotaapidipagina"/>
    <w:uiPriority w:val="99"/>
    <w:semiHidden/>
    <w:rsid w:val="00DD4FA8"/>
    <w:rPr>
      <w:rFonts w:ascii="Times New Roman" w:eastAsia="Times New Roman" w:hAnsi="Times New Roman"/>
      <w:sz w:val="20"/>
      <w:szCs w:val="20"/>
    </w:rPr>
  </w:style>
  <w:style w:type="character" w:customStyle="1" w:styleId="linkgazzetta">
    <w:name w:val="link_gazzetta"/>
    <w:basedOn w:val="Carpredefinitoparagrafo"/>
    <w:rsid w:val="00D17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4992">
      <w:bodyDiv w:val="1"/>
      <w:marLeft w:val="0"/>
      <w:marRight w:val="0"/>
      <w:marTop w:val="0"/>
      <w:marBottom w:val="0"/>
      <w:divBdr>
        <w:top w:val="none" w:sz="0" w:space="0" w:color="auto"/>
        <w:left w:val="none" w:sz="0" w:space="0" w:color="auto"/>
        <w:bottom w:val="none" w:sz="0" w:space="0" w:color="auto"/>
        <w:right w:val="none" w:sz="0" w:space="0" w:color="auto"/>
      </w:divBdr>
    </w:div>
    <w:div w:id="387145252">
      <w:bodyDiv w:val="1"/>
      <w:marLeft w:val="0"/>
      <w:marRight w:val="0"/>
      <w:marTop w:val="0"/>
      <w:marBottom w:val="0"/>
      <w:divBdr>
        <w:top w:val="none" w:sz="0" w:space="0" w:color="auto"/>
        <w:left w:val="none" w:sz="0" w:space="0" w:color="auto"/>
        <w:bottom w:val="none" w:sz="0" w:space="0" w:color="auto"/>
        <w:right w:val="none" w:sz="0" w:space="0" w:color="auto"/>
      </w:divBdr>
    </w:div>
    <w:div w:id="389422834">
      <w:bodyDiv w:val="1"/>
      <w:marLeft w:val="0"/>
      <w:marRight w:val="0"/>
      <w:marTop w:val="0"/>
      <w:marBottom w:val="0"/>
      <w:divBdr>
        <w:top w:val="none" w:sz="0" w:space="0" w:color="auto"/>
        <w:left w:val="none" w:sz="0" w:space="0" w:color="auto"/>
        <w:bottom w:val="none" w:sz="0" w:space="0" w:color="auto"/>
        <w:right w:val="none" w:sz="0" w:space="0" w:color="auto"/>
      </w:divBdr>
    </w:div>
    <w:div w:id="474029168">
      <w:bodyDiv w:val="1"/>
      <w:marLeft w:val="0"/>
      <w:marRight w:val="0"/>
      <w:marTop w:val="0"/>
      <w:marBottom w:val="0"/>
      <w:divBdr>
        <w:top w:val="none" w:sz="0" w:space="0" w:color="auto"/>
        <w:left w:val="none" w:sz="0" w:space="0" w:color="auto"/>
        <w:bottom w:val="none" w:sz="0" w:space="0" w:color="auto"/>
        <w:right w:val="none" w:sz="0" w:space="0" w:color="auto"/>
      </w:divBdr>
      <w:divsChild>
        <w:div w:id="1574196254">
          <w:marLeft w:val="0"/>
          <w:marRight w:val="0"/>
          <w:marTop w:val="0"/>
          <w:marBottom w:val="0"/>
          <w:divBdr>
            <w:top w:val="none" w:sz="0" w:space="0" w:color="auto"/>
            <w:left w:val="none" w:sz="0" w:space="0" w:color="auto"/>
            <w:bottom w:val="none" w:sz="0" w:space="0" w:color="auto"/>
            <w:right w:val="none" w:sz="0" w:space="0" w:color="auto"/>
          </w:divBdr>
          <w:divsChild>
            <w:div w:id="1927877829">
              <w:marLeft w:val="-90"/>
              <w:marRight w:val="-90"/>
              <w:marTop w:val="0"/>
              <w:marBottom w:val="0"/>
              <w:divBdr>
                <w:top w:val="none" w:sz="0" w:space="0" w:color="auto"/>
                <w:left w:val="none" w:sz="0" w:space="0" w:color="auto"/>
                <w:bottom w:val="none" w:sz="0" w:space="0" w:color="auto"/>
                <w:right w:val="none" w:sz="0" w:space="0" w:color="auto"/>
              </w:divBdr>
              <w:divsChild>
                <w:div w:id="1890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82128">
      <w:bodyDiv w:val="1"/>
      <w:marLeft w:val="0"/>
      <w:marRight w:val="0"/>
      <w:marTop w:val="0"/>
      <w:marBottom w:val="0"/>
      <w:divBdr>
        <w:top w:val="none" w:sz="0" w:space="0" w:color="auto"/>
        <w:left w:val="none" w:sz="0" w:space="0" w:color="auto"/>
        <w:bottom w:val="none" w:sz="0" w:space="0" w:color="auto"/>
        <w:right w:val="none" w:sz="0" w:space="0" w:color="auto"/>
      </w:divBdr>
    </w:div>
    <w:div w:id="765881564">
      <w:bodyDiv w:val="1"/>
      <w:marLeft w:val="0"/>
      <w:marRight w:val="0"/>
      <w:marTop w:val="0"/>
      <w:marBottom w:val="0"/>
      <w:divBdr>
        <w:top w:val="none" w:sz="0" w:space="0" w:color="auto"/>
        <w:left w:val="none" w:sz="0" w:space="0" w:color="auto"/>
        <w:bottom w:val="none" w:sz="0" w:space="0" w:color="auto"/>
        <w:right w:val="none" w:sz="0" w:space="0" w:color="auto"/>
      </w:divBdr>
    </w:div>
    <w:div w:id="779882965">
      <w:marLeft w:val="0"/>
      <w:marRight w:val="0"/>
      <w:marTop w:val="0"/>
      <w:marBottom w:val="0"/>
      <w:divBdr>
        <w:top w:val="none" w:sz="0" w:space="0" w:color="auto"/>
        <w:left w:val="none" w:sz="0" w:space="0" w:color="auto"/>
        <w:bottom w:val="none" w:sz="0" w:space="0" w:color="auto"/>
        <w:right w:val="none" w:sz="0" w:space="0" w:color="auto"/>
      </w:divBdr>
    </w:div>
    <w:div w:id="779882966">
      <w:marLeft w:val="0"/>
      <w:marRight w:val="0"/>
      <w:marTop w:val="0"/>
      <w:marBottom w:val="0"/>
      <w:divBdr>
        <w:top w:val="none" w:sz="0" w:space="0" w:color="auto"/>
        <w:left w:val="none" w:sz="0" w:space="0" w:color="auto"/>
        <w:bottom w:val="none" w:sz="0" w:space="0" w:color="auto"/>
        <w:right w:val="none" w:sz="0" w:space="0" w:color="auto"/>
      </w:divBdr>
    </w:div>
    <w:div w:id="779882967">
      <w:marLeft w:val="0"/>
      <w:marRight w:val="0"/>
      <w:marTop w:val="0"/>
      <w:marBottom w:val="0"/>
      <w:divBdr>
        <w:top w:val="none" w:sz="0" w:space="0" w:color="auto"/>
        <w:left w:val="none" w:sz="0" w:space="0" w:color="auto"/>
        <w:bottom w:val="none" w:sz="0" w:space="0" w:color="auto"/>
        <w:right w:val="none" w:sz="0" w:space="0" w:color="auto"/>
      </w:divBdr>
      <w:divsChild>
        <w:div w:id="779882977">
          <w:marLeft w:val="63"/>
          <w:marRight w:val="63"/>
          <w:marTop w:val="188"/>
          <w:marBottom w:val="0"/>
          <w:divBdr>
            <w:top w:val="none" w:sz="0" w:space="0" w:color="auto"/>
            <w:left w:val="none" w:sz="0" w:space="0" w:color="auto"/>
            <w:bottom w:val="none" w:sz="0" w:space="0" w:color="auto"/>
            <w:right w:val="none" w:sz="0" w:space="0" w:color="auto"/>
          </w:divBdr>
          <w:divsChild>
            <w:div w:id="7798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2968">
      <w:marLeft w:val="0"/>
      <w:marRight w:val="0"/>
      <w:marTop w:val="0"/>
      <w:marBottom w:val="0"/>
      <w:divBdr>
        <w:top w:val="none" w:sz="0" w:space="0" w:color="auto"/>
        <w:left w:val="none" w:sz="0" w:space="0" w:color="auto"/>
        <w:bottom w:val="none" w:sz="0" w:space="0" w:color="auto"/>
        <w:right w:val="none" w:sz="0" w:space="0" w:color="auto"/>
      </w:divBdr>
    </w:div>
    <w:div w:id="779882969">
      <w:marLeft w:val="0"/>
      <w:marRight w:val="0"/>
      <w:marTop w:val="0"/>
      <w:marBottom w:val="0"/>
      <w:divBdr>
        <w:top w:val="none" w:sz="0" w:space="0" w:color="auto"/>
        <w:left w:val="none" w:sz="0" w:space="0" w:color="auto"/>
        <w:bottom w:val="none" w:sz="0" w:space="0" w:color="auto"/>
        <w:right w:val="none" w:sz="0" w:space="0" w:color="auto"/>
      </w:divBdr>
    </w:div>
    <w:div w:id="779882970">
      <w:marLeft w:val="0"/>
      <w:marRight w:val="0"/>
      <w:marTop w:val="0"/>
      <w:marBottom w:val="0"/>
      <w:divBdr>
        <w:top w:val="none" w:sz="0" w:space="0" w:color="auto"/>
        <w:left w:val="none" w:sz="0" w:space="0" w:color="auto"/>
        <w:bottom w:val="none" w:sz="0" w:space="0" w:color="auto"/>
        <w:right w:val="none" w:sz="0" w:space="0" w:color="auto"/>
      </w:divBdr>
    </w:div>
    <w:div w:id="779882971">
      <w:marLeft w:val="0"/>
      <w:marRight w:val="0"/>
      <w:marTop w:val="0"/>
      <w:marBottom w:val="0"/>
      <w:divBdr>
        <w:top w:val="none" w:sz="0" w:space="0" w:color="auto"/>
        <w:left w:val="none" w:sz="0" w:space="0" w:color="auto"/>
        <w:bottom w:val="none" w:sz="0" w:space="0" w:color="auto"/>
        <w:right w:val="none" w:sz="0" w:space="0" w:color="auto"/>
      </w:divBdr>
    </w:div>
    <w:div w:id="779882972">
      <w:marLeft w:val="0"/>
      <w:marRight w:val="0"/>
      <w:marTop w:val="0"/>
      <w:marBottom w:val="0"/>
      <w:divBdr>
        <w:top w:val="none" w:sz="0" w:space="0" w:color="auto"/>
        <w:left w:val="none" w:sz="0" w:space="0" w:color="auto"/>
        <w:bottom w:val="none" w:sz="0" w:space="0" w:color="auto"/>
        <w:right w:val="none" w:sz="0" w:space="0" w:color="auto"/>
      </w:divBdr>
    </w:div>
    <w:div w:id="779882973">
      <w:marLeft w:val="0"/>
      <w:marRight w:val="0"/>
      <w:marTop w:val="0"/>
      <w:marBottom w:val="0"/>
      <w:divBdr>
        <w:top w:val="none" w:sz="0" w:space="0" w:color="auto"/>
        <w:left w:val="none" w:sz="0" w:space="0" w:color="auto"/>
        <w:bottom w:val="none" w:sz="0" w:space="0" w:color="auto"/>
        <w:right w:val="none" w:sz="0" w:space="0" w:color="auto"/>
      </w:divBdr>
    </w:div>
    <w:div w:id="779882974">
      <w:marLeft w:val="0"/>
      <w:marRight w:val="0"/>
      <w:marTop w:val="0"/>
      <w:marBottom w:val="0"/>
      <w:divBdr>
        <w:top w:val="none" w:sz="0" w:space="0" w:color="auto"/>
        <w:left w:val="none" w:sz="0" w:space="0" w:color="auto"/>
        <w:bottom w:val="none" w:sz="0" w:space="0" w:color="auto"/>
        <w:right w:val="none" w:sz="0" w:space="0" w:color="auto"/>
      </w:divBdr>
    </w:div>
    <w:div w:id="779882976">
      <w:marLeft w:val="0"/>
      <w:marRight w:val="0"/>
      <w:marTop w:val="0"/>
      <w:marBottom w:val="0"/>
      <w:divBdr>
        <w:top w:val="none" w:sz="0" w:space="0" w:color="auto"/>
        <w:left w:val="none" w:sz="0" w:space="0" w:color="auto"/>
        <w:bottom w:val="none" w:sz="0" w:space="0" w:color="auto"/>
        <w:right w:val="none" w:sz="0" w:space="0" w:color="auto"/>
      </w:divBdr>
    </w:div>
    <w:div w:id="779882978">
      <w:marLeft w:val="0"/>
      <w:marRight w:val="0"/>
      <w:marTop w:val="0"/>
      <w:marBottom w:val="0"/>
      <w:divBdr>
        <w:top w:val="none" w:sz="0" w:space="0" w:color="auto"/>
        <w:left w:val="none" w:sz="0" w:space="0" w:color="auto"/>
        <w:bottom w:val="none" w:sz="0" w:space="0" w:color="auto"/>
        <w:right w:val="none" w:sz="0" w:space="0" w:color="auto"/>
      </w:divBdr>
    </w:div>
    <w:div w:id="779882979">
      <w:marLeft w:val="0"/>
      <w:marRight w:val="0"/>
      <w:marTop w:val="0"/>
      <w:marBottom w:val="0"/>
      <w:divBdr>
        <w:top w:val="none" w:sz="0" w:space="0" w:color="auto"/>
        <w:left w:val="none" w:sz="0" w:space="0" w:color="auto"/>
        <w:bottom w:val="none" w:sz="0" w:space="0" w:color="auto"/>
        <w:right w:val="none" w:sz="0" w:space="0" w:color="auto"/>
      </w:divBdr>
    </w:div>
    <w:div w:id="779882980">
      <w:marLeft w:val="0"/>
      <w:marRight w:val="0"/>
      <w:marTop w:val="0"/>
      <w:marBottom w:val="0"/>
      <w:divBdr>
        <w:top w:val="none" w:sz="0" w:space="0" w:color="auto"/>
        <w:left w:val="none" w:sz="0" w:space="0" w:color="auto"/>
        <w:bottom w:val="none" w:sz="0" w:space="0" w:color="auto"/>
        <w:right w:val="none" w:sz="0" w:space="0" w:color="auto"/>
      </w:divBdr>
    </w:div>
    <w:div w:id="779882981">
      <w:marLeft w:val="0"/>
      <w:marRight w:val="0"/>
      <w:marTop w:val="0"/>
      <w:marBottom w:val="0"/>
      <w:divBdr>
        <w:top w:val="none" w:sz="0" w:space="0" w:color="auto"/>
        <w:left w:val="none" w:sz="0" w:space="0" w:color="auto"/>
        <w:bottom w:val="none" w:sz="0" w:space="0" w:color="auto"/>
        <w:right w:val="none" w:sz="0" w:space="0" w:color="auto"/>
      </w:divBdr>
    </w:div>
    <w:div w:id="800731930">
      <w:bodyDiv w:val="1"/>
      <w:marLeft w:val="0"/>
      <w:marRight w:val="0"/>
      <w:marTop w:val="0"/>
      <w:marBottom w:val="0"/>
      <w:divBdr>
        <w:top w:val="none" w:sz="0" w:space="0" w:color="auto"/>
        <w:left w:val="none" w:sz="0" w:space="0" w:color="auto"/>
        <w:bottom w:val="none" w:sz="0" w:space="0" w:color="auto"/>
        <w:right w:val="none" w:sz="0" w:space="0" w:color="auto"/>
      </w:divBdr>
    </w:div>
    <w:div w:id="833494096">
      <w:bodyDiv w:val="1"/>
      <w:marLeft w:val="0"/>
      <w:marRight w:val="0"/>
      <w:marTop w:val="0"/>
      <w:marBottom w:val="0"/>
      <w:divBdr>
        <w:top w:val="none" w:sz="0" w:space="0" w:color="auto"/>
        <w:left w:val="none" w:sz="0" w:space="0" w:color="auto"/>
        <w:bottom w:val="none" w:sz="0" w:space="0" w:color="auto"/>
        <w:right w:val="none" w:sz="0" w:space="0" w:color="auto"/>
      </w:divBdr>
    </w:div>
    <w:div w:id="856962128">
      <w:bodyDiv w:val="1"/>
      <w:marLeft w:val="0"/>
      <w:marRight w:val="0"/>
      <w:marTop w:val="0"/>
      <w:marBottom w:val="0"/>
      <w:divBdr>
        <w:top w:val="none" w:sz="0" w:space="0" w:color="auto"/>
        <w:left w:val="none" w:sz="0" w:space="0" w:color="auto"/>
        <w:bottom w:val="none" w:sz="0" w:space="0" w:color="auto"/>
        <w:right w:val="none" w:sz="0" w:space="0" w:color="auto"/>
      </w:divBdr>
    </w:div>
    <w:div w:id="920218247">
      <w:bodyDiv w:val="1"/>
      <w:marLeft w:val="0"/>
      <w:marRight w:val="0"/>
      <w:marTop w:val="0"/>
      <w:marBottom w:val="0"/>
      <w:divBdr>
        <w:top w:val="none" w:sz="0" w:space="0" w:color="auto"/>
        <w:left w:val="none" w:sz="0" w:space="0" w:color="auto"/>
        <w:bottom w:val="none" w:sz="0" w:space="0" w:color="auto"/>
        <w:right w:val="none" w:sz="0" w:space="0" w:color="auto"/>
      </w:divBdr>
    </w:div>
    <w:div w:id="1084761915">
      <w:bodyDiv w:val="1"/>
      <w:marLeft w:val="0"/>
      <w:marRight w:val="0"/>
      <w:marTop w:val="0"/>
      <w:marBottom w:val="0"/>
      <w:divBdr>
        <w:top w:val="none" w:sz="0" w:space="0" w:color="auto"/>
        <w:left w:val="none" w:sz="0" w:space="0" w:color="auto"/>
        <w:bottom w:val="none" w:sz="0" w:space="0" w:color="auto"/>
        <w:right w:val="none" w:sz="0" w:space="0" w:color="auto"/>
      </w:divBdr>
    </w:div>
    <w:div w:id="1162818415">
      <w:bodyDiv w:val="1"/>
      <w:marLeft w:val="0"/>
      <w:marRight w:val="0"/>
      <w:marTop w:val="0"/>
      <w:marBottom w:val="0"/>
      <w:divBdr>
        <w:top w:val="none" w:sz="0" w:space="0" w:color="auto"/>
        <w:left w:val="none" w:sz="0" w:space="0" w:color="auto"/>
        <w:bottom w:val="none" w:sz="0" w:space="0" w:color="auto"/>
        <w:right w:val="none" w:sz="0" w:space="0" w:color="auto"/>
      </w:divBdr>
    </w:div>
    <w:div w:id="1213149105">
      <w:bodyDiv w:val="1"/>
      <w:marLeft w:val="0"/>
      <w:marRight w:val="0"/>
      <w:marTop w:val="0"/>
      <w:marBottom w:val="0"/>
      <w:divBdr>
        <w:top w:val="none" w:sz="0" w:space="0" w:color="auto"/>
        <w:left w:val="none" w:sz="0" w:space="0" w:color="auto"/>
        <w:bottom w:val="none" w:sz="0" w:space="0" w:color="auto"/>
        <w:right w:val="none" w:sz="0" w:space="0" w:color="auto"/>
      </w:divBdr>
    </w:div>
    <w:div w:id="1263419575">
      <w:bodyDiv w:val="1"/>
      <w:marLeft w:val="0"/>
      <w:marRight w:val="0"/>
      <w:marTop w:val="0"/>
      <w:marBottom w:val="0"/>
      <w:divBdr>
        <w:top w:val="none" w:sz="0" w:space="0" w:color="auto"/>
        <w:left w:val="none" w:sz="0" w:space="0" w:color="auto"/>
        <w:bottom w:val="none" w:sz="0" w:space="0" w:color="auto"/>
        <w:right w:val="none" w:sz="0" w:space="0" w:color="auto"/>
      </w:divBdr>
    </w:div>
    <w:div w:id="1363281822">
      <w:bodyDiv w:val="1"/>
      <w:marLeft w:val="0"/>
      <w:marRight w:val="0"/>
      <w:marTop w:val="0"/>
      <w:marBottom w:val="0"/>
      <w:divBdr>
        <w:top w:val="none" w:sz="0" w:space="0" w:color="auto"/>
        <w:left w:val="none" w:sz="0" w:space="0" w:color="auto"/>
        <w:bottom w:val="none" w:sz="0" w:space="0" w:color="auto"/>
        <w:right w:val="none" w:sz="0" w:space="0" w:color="auto"/>
      </w:divBdr>
    </w:div>
    <w:div w:id="1452438094">
      <w:bodyDiv w:val="1"/>
      <w:marLeft w:val="0"/>
      <w:marRight w:val="0"/>
      <w:marTop w:val="0"/>
      <w:marBottom w:val="0"/>
      <w:divBdr>
        <w:top w:val="none" w:sz="0" w:space="0" w:color="auto"/>
        <w:left w:val="none" w:sz="0" w:space="0" w:color="auto"/>
        <w:bottom w:val="none" w:sz="0" w:space="0" w:color="auto"/>
        <w:right w:val="none" w:sz="0" w:space="0" w:color="auto"/>
      </w:divBdr>
    </w:div>
    <w:div w:id="1525905145">
      <w:bodyDiv w:val="1"/>
      <w:marLeft w:val="0"/>
      <w:marRight w:val="0"/>
      <w:marTop w:val="0"/>
      <w:marBottom w:val="0"/>
      <w:divBdr>
        <w:top w:val="none" w:sz="0" w:space="0" w:color="auto"/>
        <w:left w:val="none" w:sz="0" w:space="0" w:color="auto"/>
        <w:bottom w:val="none" w:sz="0" w:space="0" w:color="auto"/>
        <w:right w:val="none" w:sz="0" w:space="0" w:color="auto"/>
      </w:divBdr>
    </w:div>
    <w:div w:id="1587879760">
      <w:bodyDiv w:val="1"/>
      <w:marLeft w:val="0"/>
      <w:marRight w:val="0"/>
      <w:marTop w:val="0"/>
      <w:marBottom w:val="0"/>
      <w:divBdr>
        <w:top w:val="none" w:sz="0" w:space="0" w:color="auto"/>
        <w:left w:val="none" w:sz="0" w:space="0" w:color="auto"/>
        <w:bottom w:val="none" w:sz="0" w:space="0" w:color="auto"/>
        <w:right w:val="none" w:sz="0" w:space="0" w:color="auto"/>
      </w:divBdr>
      <w:divsChild>
        <w:div w:id="564605961">
          <w:marLeft w:val="0"/>
          <w:marRight w:val="0"/>
          <w:marTop w:val="0"/>
          <w:marBottom w:val="0"/>
          <w:divBdr>
            <w:top w:val="none" w:sz="0" w:space="0" w:color="auto"/>
            <w:left w:val="none" w:sz="0" w:space="0" w:color="auto"/>
            <w:bottom w:val="none" w:sz="0" w:space="0" w:color="auto"/>
            <w:right w:val="none" w:sz="0" w:space="0" w:color="auto"/>
          </w:divBdr>
          <w:divsChild>
            <w:div w:id="1866358728">
              <w:marLeft w:val="-90"/>
              <w:marRight w:val="-90"/>
              <w:marTop w:val="0"/>
              <w:marBottom w:val="0"/>
              <w:divBdr>
                <w:top w:val="none" w:sz="0" w:space="0" w:color="auto"/>
                <w:left w:val="none" w:sz="0" w:space="0" w:color="auto"/>
                <w:bottom w:val="none" w:sz="0" w:space="0" w:color="auto"/>
                <w:right w:val="none" w:sz="0" w:space="0" w:color="auto"/>
              </w:divBdr>
              <w:divsChild>
                <w:div w:id="3700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5037">
      <w:bodyDiv w:val="1"/>
      <w:marLeft w:val="0"/>
      <w:marRight w:val="0"/>
      <w:marTop w:val="0"/>
      <w:marBottom w:val="0"/>
      <w:divBdr>
        <w:top w:val="none" w:sz="0" w:space="0" w:color="auto"/>
        <w:left w:val="none" w:sz="0" w:space="0" w:color="auto"/>
        <w:bottom w:val="none" w:sz="0" w:space="0" w:color="auto"/>
        <w:right w:val="none" w:sz="0" w:space="0" w:color="auto"/>
      </w:divBdr>
    </w:div>
    <w:div w:id="1651057959">
      <w:bodyDiv w:val="1"/>
      <w:marLeft w:val="0"/>
      <w:marRight w:val="0"/>
      <w:marTop w:val="0"/>
      <w:marBottom w:val="0"/>
      <w:divBdr>
        <w:top w:val="none" w:sz="0" w:space="0" w:color="auto"/>
        <w:left w:val="none" w:sz="0" w:space="0" w:color="auto"/>
        <w:bottom w:val="none" w:sz="0" w:space="0" w:color="auto"/>
        <w:right w:val="none" w:sz="0" w:space="0" w:color="auto"/>
      </w:divBdr>
      <w:divsChild>
        <w:div w:id="161623111">
          <w:marLeft w:val="0"/>
          <w:marRight w:val="0"/>
          <w:marTop w:val="0"/>
          <w:marBottom w:val="0"/>
          <w:divBdr>
            <w:top w:val="none" w:sz="0" w:space="0" w:color="auto"/>
            <w:left w:val="none" w:sz="0" w:space="0" w:color="auto"/>
            <w:bottom w:val="none" w:sz="0" w:space="0" w:color="auto"/>
            <w:right w:val="none" w:sz="0" w:space="0" w:color="auto"/>
          </w:divBdr>
        </w:div>
        <w:div w:id="1143816479">
          <w:marLeft w:val="0"/>
          <w:marRight w:val="0"/>
          <w:marTop w:val="0"/>
          <w:marBottom w:val="0"/>
          <w:divBdr>
            <w:top w:val="none" w:sz="0" w:space="0" w:color="auto"/>
            <w:left w:val="none" w:sz="0" w:space="0" w:color="auto"/>
            <w:bottom w:val="none" w:sz="0" w:space="0" w:color="auto"/>
            <w:right w:val="none" w:sz="0" w:space="0" w:color="auto"/>
          </w:divBdr>
        </w:div>
        <w:div w:id="1467624958">
          <w:marLeft w:val="0"/>
          <w:marRight w:val="0"/>
          <w:marTop w:val="0"/>
          <w:marBottom w:val="0"/>
          <w:divBdr>
            <w:top w:val="none" w:sz="0" w:space="0" w:color="auto"/>
            <w:left w:val="none" w:sz="0" w:space="0" w:color="auto"/>
            <w:bottom w:val="none" w:sz="0" w:space="0" w:color="auto"/>
            <w:right w:val="none" w:sz="0" w:space="0" w:color="auto"/>
          </w:divBdr>
        </w:div>
      </w:divsChild>
    </w:div>
    <w:div w:id="1702584017">
      <w:bodyDiv w:val="1"/>
      <w:marLeft w:val="0"/>
      <w:marRight w:val="0"/>
      <w:marTop w:val="0"/>
      <w:marBottom w:val="0"/>
      <w:divBdr>
        <w:top w:val="none" w:sz="0" w:space="0" w:color="auto"/>
        <w:left w:val="none" w:sz="0" w:space="0" w:color="auto"/>
        <w:bottom w:val="none" w:sz="0" w:space="0" w:color="auto"/>
        <w:right w:val="none" w:sz="0" w:space="0" w:color="auto"/>
      </w:divBdr>
    </w:div>
    <w:div w:id="1833639109">
      <w:bodyDiv w:val="1"/>
      <w:marLeft w:val="0"/>
      <w:marRight w:val="0"/>
      <w:marTop w:val="0"/>
      <w:marBottom w:val="0"/>
      <w:divBdr>
        <w:top w:val="none" w:sz="0" w:space="0" w:color="auto"/>
        <w:left w:val="none" w:sz="0" w:space="0" w:color="auto"/>
        <w:bottom w:val="none" w:sz="0" w:space="0" w:color="auto"/>
        <w:right w:val="none" w:sz="0" w:space="0" w:color="auto"/>
      </w:divBdr>
      <w:divsChild>
        <w:div w:id="727606645">
          <w:marLeft w:val="0"/>
          <w:marRight w:val="0"/>
          <w:marTop w:val="0"/>
          <w:marBottom w:val="0"/>
          <w:divBdr>
            <w:top w:val="none" w:sz="0" w:space="0" w:color="auto"/>
            <w:left w:val="none" w:sz="0" w:space="0" w:color="auto"/>
            <w:bottom w:val="none" w:sz="0" w:space="0" w:color="auto"/>
            <w:right w:val="none" w:sz="0" w:space="0" w:color="auto"/>
          </w:divBdr>
          <w:divsChild>
            <w:div w:id="706178137">
              <w:marLeft w:val="-90"/>
              <w:marRight w:val="-90"/>
              <w:marTop w:val="0"/>
              <w:marBottom w:val="0"/>
              <w:divBdr>
                <w:top w:val="none" w:sz="0" w:space="0" w:color="auto"/>
                <w:left w:val="none" w:sz="0" w:space="0" w:color="auto"/>
                <w:bottom w:val="none" w:sz="0" w:space="0" w:color="auto"/>
                <w:right w:val="none" w:sz="0" w:space="0" w:color="auto"/>
              </w:divBdr>
              <w:divsChild>
                <w:div w:id="11469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0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4AF44-2D50-46D0-AA85-716BCE1D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9305</Words>
  <Characters>53041</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
    </vt:vector>
  </TitlesOfParts>
  <Company>MiSE</Company>
  <LinksUpToDate>false</LinksUpToDate>
  <CharactersWithSpaces>62222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Novelli</dc:creator>
  <cp:keywords/>
  <dc:description/>
  <cp:lastModifiedBy>Cdd</cp:lastModifiedBy>
  <cp:revision>2</cp:revision>
  <cp:lastPrinted>2022-01-25T12:30:00Z</cp:lastPrinted>
  <dcterms:created xsi:type="dcterms:W3CDTF">2022-03-14T15:11:00Z</dcterms:created>
  <dcterms:modified xsi:type="dcterms:W3CDTF">2022-03-14T15:11:00Z</dcterms:modified>
</cp:coreProperties>
</file>